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80"/>
      </w:pPr>
      <w:r>
        <w:rPr>
          <w:rFonts w:ascii="Arial" w:hAnsi="Arial"/>
          <w:b/>
          <w:color w:val="3D3A34"/>
          <w:sz w:val="44"/>
        </w:rPr>
        <w:t>Board Meeting Minutes</w:t>
      </w:r>
    </w:p>
    <w:p>
      <w:pPr>
        <w:spacing w:after="200"/>
      </w:pPr>
      <w:r>
        <w:rPr>
          <w:rFonts w:ascii="Arial" w:hAnsi="Arial"/>
          <w:i/>
          <w:color w:val="8A857C"/>
          <w:sz w:val="20"/>
        </w:rPr>
        <w:t>Filled-in example.</w:t>
      </w:r>
    </w:p>
    <w:tbl>
      <w:tblPr>
        <w:tblStyle w:val="TableGrid"/>
        <w:tblW w:type="auto" w:w="0"/>
        <w:tblLook w:firstColumn="1" w:firstRow="1" w:lastColumn="0" w:lastRow="0" w:noHBand="0" w:noVBand="1" w:val="04A0"/>
      </w:tblPr>
      <w:tblGrid>
        <w:gridCol w:w="2484"/>
        <w:gridCol w:w="2484"/>
        <w:gridCol w:w="2484"/>
        <w:gridCol w:w="2484"/>
      </w:tblGrid>
      <w:tr>
        <w:tc>
          <w:tcPr>
            <w:tcW w:type="dxa" w:w="1728"/>
            <w:shd w:val="clear" w:fill="F4EDE3"/>
          </w:tcPr>
          <w:p>
            <w:r/>
            <w:r>
              <w:rPr>
                <w:rFonts w:ascii="Arial" w:hAnsi="Arial"/>
                <w:b/>
                <w:i w:val="0"/>
                <w:color w:val="C85A3B"/>
                <w:sz w:val="18"/>
              </w:rPr>
              <w:t>Church</w:t>
            </w:r>
          </w:p>
        </w:tc>
        <w:tc>
          <w:tcPr>
            <w:tcW w:type="dxa" w:w="3312"/>
          </w:tcPr>
          <w:p>
            <w:r/>
            <w:r>
              <w:rPr>
                <w:rFonts w:ascii="Arial" w:hAnsi="Arial"/>
                <w:b w:val="0"/>
                <w:i w:val="0"/>
                <w:sz w:val="20"/>
              </w:rPr>
              <w:t>Grace Community Church</w:t>
            </w:r>
          </w:p>
        </w:tc>
        <w:tc>
          <w:tcPr>
            <w:tcW w:type="dxa" w:w="1728"/>
            <w:shd w:val="clear" w:fill="F4EDE3"/>
          </w:tcPr>
          <w:p>
            <w:r/>
            <w:r>
              <w:rPr>
                <w:rFonts w:ascii="Arial" w:hAnsi="Arial"/>
                <w:b/>
                <w:i w:val="0"/>
                <w:color w:val="C85A3B"/>
                <w:sz w:val="18"/>
              </w:rPr>
              <w:t>Board</w:t>
            </w:r>
          </w:p>
        </w:tc>
        <w:tc>
          <w:tcPr>
            <w:tcW w:type="dxa" w:w="3168"/>
          </w:tcPr>
          <w:p>
            <w:r/>
            <w:r>
              <w:rPr>
                <w:rFonts w:ascii="Arial" w:hAnsi="Arial"/>
                <w:b w:val="0"/>
                <w:i w:val="0"/>
                <w:sz w:val="20"/>
              </w:rPr>
              <w:t>Board of Elders</w:t>
            </w:r>
          </w:p>
        </w:tc>
      </w:tr>
      <w:tr>
        <w:tc>
          <w:tcPr>
            <w:tcW w:type="dxa" w:w="1728"/>
            <w:shd w:val="clear" w:fill="F4EDE3"/>
          </w:tcPr>
          <w:p>
            <w:r/>
            <w:r>
              <w:rPr>
                <w:rFonts w:ascii="Arial" w:hAnsi="Arial"/>
                <w:b/>
                <w:i w:val="0"/>
                <w:color w:val="C85A3B"/>
                <w:sz w:val="18"/>
              </w:rPr>
              <w:t>Date</w:t>
            </w:r>
          </w:p>
        </w:tc>
        <w:tc>
          <w:tcPr>
            <w:tcW w:type="dxa" w:w="3312"/>
          </w:tcPr>
          <w:p>
            <w:r/>
            <w:r>
              <w:rPr>
                <w:rFonts w:ascii="Arial" w:hAnsi="Arial"/>
                <w:b w:val="0"/>
                <w:i w:val="0"/>
                <w:sz w:val="20"/>
              </w:rPr>
              <w:t>Tuesday, August 18, 2026</w:t>
            </w:r>
          </w:p>
        </w:tc>
        <w:tc>
          <w:tcPr>
            <w:tcW w:type="dxa" w:w="1728"/>
            <w:shd w:val="clear" w:fill="F4EDE3"/>
          </w:tcPr>
          <w:p>
            <w:r/>
            <w:r>
              <w:rPr>
                <w:rFonts w:ascii="Arial" w:hAnsi="Arial"/>
                <w:b/>
                <w:i w:val="0"/>
                <w:color w:val="C85A3B"/>
                <w:sz w:val="18"/>
              </w:rPr>
              <w:t>Place</w:t>
            </w:r>
          </w:p>
        </w:tc>
        <w:tc>
          <w:tcPr>
            <w:tcW w:type="dxa" w:w="3168"/>
          </w:tcPr>
          <w:p>
            <w:r/>
            <w:r>
              <w:rPr>
                <w:rFonts w:ascii="Arial" w:hAnsi="Arial"/>
                <w:b w:val="0"/>
                <w:i w:val="0"/>
                <w:sz w:val="20"/>
              </w:rPr>
              <w:t>Room 204 / video link</w:t>
            </w:r>
          </w:p>
        </w:tc>
      </w:tr>
      <w:tr>
        <w:tc>
          <w:tcPr>
            <w:tcW w:type="dxa" w:w="1728"/>
            <w:shd w:val="clear" w:fill="F4EDE3"/>
          </w:tcPr>
          <w:p>
            <w:r/>
            <w:r>
              <w:rPr>
                <w:rFonts w:ascii="Arial" w:hAnsi="Arial"/>
                <w:b/>
                <w:i w:val="0"/>
                <w:color w:val="C85A3B"/>
                <w:sz w:val="18"/>
              </w:rPr>
              <w:t>Called to order</w:t>
            </w:r>
          </w:p>
        </w:tc>
        <w:tc>
          <w:tcPr>
            <w:tcW w:type="dxa" w:w="3312"/>
          </w:tcPr>
          <w:p>
            <w:r/>
            <w:r>
              <w:rPr>
                <w:rFonts w:ascii="Arial" w:hAnsi="Arial"/>
                <w:b w:val="0"/>
                <w:i w:val="0"/>
                <w:sz w:val="20"/>
              </w:rPr>
              <w:t>7:04 PM</w:t>
            </w:r>
          </w:p>
        </w:tc>
        <w:tc>
          <w:tcPr>
            <w:tcW w:type="dxa" w:w="1728"/>
            <w:shd w:val="clear" w:fill="F4EDE3"/>
          </w:tcPr>
          <w:p>
            <w:r/>
            <w:r>
              <w:rPr>
                <w:rFonts w:ascii="Arial" w:hAnsi="Arial"/>
                <w:b/>
                <w:i w:val="0"/>
                <w:color w:val="C85A3B"/>
                <w:sz w:val="18"/>
              </w:rPr>
              <w:t>Presiding</w:t>
            </w:r>
          </w:p>
        </w:tc>
        <w:tc>
          <w:tcPr>
            <w:tcW w:type="dxa" w:w="3168"/>
          </w:tcPr>
          <w:p>
            <w:r/>
            <w:r>
              <w:rPr>
                <w:rFonts w:ascii="Arial" w:hAnsi="Arial"/>
                <w:b w:val="0"/>
                <w:i w:val="0"/>
                <w:sz w:val="20"/>
              </w:rPr>
              <w:t>Daniel Ruiz, Chair</w:t>
            </w:r>
          </w:p>
        </w:tc>
      </w:tr>
      <w:tr>
        <w:tc>
          <w:tcPr>
            <w:tcW w:type="dxa" w:w="1728"/>
            <w:shd w:val="clear" w:fill="F4EDE3"/>
          </w:tcPr>
          <w:p>
            <w:r/>
            <w:r>
              <w:rPr>
                <w:rFonts w:ascii="Arial" w:hAnsi="Arial"/>
                <w:b/>
                <w:i w:val="0"/>
                <w:color w:val="C85A3B"/>
                <w:sz w:val="18"/>
              </w:rPr>
              <w:t>Recording secretary</w:t>
            </w:r>
          </w:p>
        </w:tc>
        <w:tc>
          <w:tcPr>
            <w:tcW w:type="dxa" w:w="3312"/>
          </w:tcPr>
          <w:p>
            <w:r/>
            <w:r>
              <w:rPr>
                <w:rFonts w:ascii="Arial" w:hAnsi="Arial"/>
                <w:b w:val="0"/>
                <w:i w:val="0"/>
                <w:sz w:val="20"/>
              </w:rPr>
              <w:t>Karen Foster</w:t>
            </w:r>
          </w:p>
        </w:tc>
        <w:tc>
          <w:tcPr>
            <w:tcW w:type="dxa" w:w="1728"/>
            <w:shd w:val="clear" w:fill="F4EDE3"/>
          </w:tcPr>
          <w:p>
            <w:r/>
            <w:r>
              <w:rPr>
                <w:rFonts w:ascii="Arial" w:hAnsi="Arial"/>
                <w:b/>
                <w:i w:val="0"/>
                <w:color w:val="C85A3B"/>
                <w:sz w:val="18"/>
              </w:rPr>
              <w:t>Adjourned</w:t>
            </w:r>
          </w:p>
        </w:tc>
        <w:tc>
          <w:tcPr>
            <w:tcW w:type="dxa" w:w="3168"/>
          </w:tcPr>
          <w:p>
            <w:r/>
            <w:r>
              <w:rPr>
                <w:rFonts w:ascii="Arial" w:hAnsi="Arial"/>
                <w:b w:val="0"/>
                <w:i w:val="0"/>
                <w:sz w:val="20"/>
              </w:rPr>
              <w:t>8:41 PM</w:t>
            </w:r>
          </w:p>
        </w:tc>
      </w:tr>
    </w:tbl>
    <w:p>
      <w:pPr>
        <w:spacing w:after="80"/>
      </w:pPr>
    </w:p>
    <w:p>
      <w:pPr>
        <w:spacing w:before="120" w:after="80"/>
      </w:pPr>
      <w:r>
        <w:rPr>
          <w:rFonts w:ascii="Arial" w:hAnsi="Arial"/>
          <w:b/>
          <w:color w:val="C85A3B"/>
          <w:sz w:val="24"/>
        </w:rPr>
        <w:t>Present</w:t>
      </w:r>
    </w:p>
    <w:p>
      <w:pPr>
        <w:pStyle w:val="ListBullet"/>
      </w:pPr>
      <w:r>
        <w:rPr>
          <w:rFonts w:ascii="Arial" w:hAnsi="Arial"/>
          <w:sz w:val="20"/>
        </w:rPr>
        <w:t>Present: Daniel Ruiz (chair), Karen Foster (secretary), Tom Bradley, Grace Okafor, Marcus Webb, Sarah Mitchell</w:t>
      </w:r>
    </w:p>
    <w:p>
      <w:pPr>
        <w:pStyle w:val="ListBullet"/>
      </w:pPr>
      <w:r>
        <w:rPr>
          <w:rFonts w:ascii="Arial" w:hAnsi="Arial"/>
          <w:sz w:val="20"/>
        </w:rPr>
        <w:t>Absent: James Patterson (work travel), Lily Tran (apologies in advance)</w:t>
      </w:r>
    </w:p>
    <w:p>
      <w:pPr>
        <w:pStyle w:val="ListBullet"/>
      </w:pPr>
      <w:r>
        <w:rPr>
          <w:rFonts w:ascii="Arial" w:hAnsi="Arial"/>
          <w:sz w:val="20"/>
        </w:rPr>
        <w:t>Guests: Anna Kowalski, for item 5 only</w:t>
      </w:r>
    </w:p>
    <w:tbl>
      <w:tblPr>
        <w:tblStyle w:val="TableGrid"/>
        <w:tblW w:type="auto" w:w="0"/>
        <w:tblLook w:firstColumn="1" w:firstRow="1" w:lastColumn="0" w:lastRow="0" w:noHBand="0" w:noVBand="1" w:val="04A0"/>
      </w:tblPr>
      <w:tblGrid>
        <w:gridCol w:w="9936"/>
      </w:tblGrid>
      <w:tr>
        <w:tc>
          <w:tcPr>
            <w:tcW w:type="dxa" w:w="9936"/>
            <w:shd w:val="clear" w:fill="F4EDE3"/>
          </w:tcPr>
          <w:p>
            <w:pPr>
              <w:spacing w:before="80" w:after="80"/>
            </w:pPr>
            <w:r/>
            <w:r>
              <w:rPr>
                <w:rFonts w:ascii="Arial" w:hAnsi="Arial"/>
                <w:b/>
                <w:i w:val="0"/>
                <w:color w:val="C85A3B"/>
                <w:sz w:val="20"/>
              </w:rPr>
              <w:t>Our quorum is 5 of 9 members.        Quorum met?   ☒ Yes   ☐ No</w:t>
            </w:r>
          </w:p>
        </w:tc>
      </w:tr>
    </w:tbl>
    <w:p>
      <w:pPr>
        <w:spacing w:after="160"/>
      </w:pPr>
      <w:r>
        <w:rPr>
          <w:rFonts w:ascii="Arial" w:hAnsi="Arial"/>
          <w:i/>
          <w:color w:val="8A857C"/>
          <w:sz w:val="18"/>
        </w:rPr>
        <w:t>Print the number. A decision taken without a quorum is not a decision, and the meeting where that gets discovered is always two years later, in front of somebody's lawyer.</w:t>
      </w:r>
    </w:p>
    <w:p>
      <w:pPr>
        <w:spacing w:before="160" w:after="80"/>
      </w:pPr>
      <w:r>
        <w:rPr>
          <w:rFonts w:ascii="Arial" w:hAnsi="Arial"/>
          <w:b/>
          <w:color w:val="C85A3B"/>
          <w:sz w:val="24"/>
        </w:rPr>
        <w:t>Approval of prior minutes</w:t>
      </w:r>
    </w:p>
    <w:p>
      <w:pPr>
        <w:pStyle w:val="ListBullet"/>
      </w:pPr>
      <w:r>
        <w:rPr>
          <w:rFonts w:ascii="Arial" w:hAnsi="Arial"/>
          <w:sz w:val="20"/>
        </w:rPr>
        <w:t>Minutes of July 21, 2026 circulated in advance. Moved by Tom Bradley, seconded by Grace Okafor. Carried unanimously.</w:t>
      </w:r>
    </w:p>
    <w:p>
      <w:pPr>
        <w:spacing w:before="160" w:after="80"/>
      </w:pPr>
      <w:r>
        <w:rPr>
          <w:rFonts w:ascii="Arial" w:hAnsi="Arial"/>
          <w:b/>
          <w:color w:val="C85A3B"/>
          <w:sz w:val="24"/>
        </w:rPr>
        <w:t>Financial report</w:t>
      </w:r>
    </w:p>
    <w:p>
      <w:pPr>
        <w:pStyle w:val="ListBullet"/>
      </w:pPr>
      <w:r>
        <w:rPr>
          <w:rFonts w:ascii="Arial" w:hAnsi="Arial"/>
          <w:sz w:val="20"/>
        </w:rPr>
        <w:t>July giving $48,210 against a budget of $46,000. Year to date 3% ahead. Building fund balance $121,400.</w:t>
      </w:r>
    </w:p>
    <w:p>
      <w:pPr>
        <w:pStyle w:val="ListBullet"/>
      </w:pPr>
      <w:r>
        <w:rPr>
          <w:rFonts w:ascii="Arial" w:hAnsi="Arial"/>
          <w:sz w:val="20"/>
        </w:rPr>
        <w:t>Attached: July financial statement (3 pages), filed with these minutes.</w:t>
      </w:r>
    </w:p>
    <w:p>
      <w:pPr>
        <w:spacing w:before="160" w:after="80"/>
      </w:pPr>
      <w:r>
        <w:rPr>
          <w:rFonts w:ascii="Arial" w:hAnsi="Arial"/>
          <w:b/>
          <w:color w:val="C85A3B"/>
          <w:sz w:val="24"/>
        </w:rPr>
        <w:t>Pastor's report</w:t>
      </w:r>
    </w:p>
    <w:p>
      <w:pPr>
        <w:pStyle w:val="ListBullet"/>
      </w:pPr>
      <w:r>
        <w:rPr>
          <w:rFonts w:ascii="Arial" w:hAnsi="Arial"/>
          <w:sz w:val="20"/>
        </w:rPr>
        <w:t>Summer attendance recovered through August. Two baptisms scheduled for September 13. Kids ministry is four volunteers short for the autumn term.</w:t>
      </w:r>
    </w:p>
    <w:p>
      <w:pPr>
        <w:spacing w:before="160" w:after="80"/>
      </w:pPr>
      <w:r>
        <w:rPr>
          <w:rFonts w:ascii="Arial" w:hAnsi="Arial"/>
          <w:b/>
          <w:color w:val="C85A3B"/>
          <w:sz w:val="24"/>
        </w:rPr>
        <w:t>Old business</w:t>
      </w:r>
    </w:p>
    <w:p>
      <w:pPr>
        <w:pStyle w:val="ListBullet"/>
      </w:pPr>
      <w:r>
        <w:rPr>
          <w:rFonts w:ascii="Arial" w:hAnsi="Arial"/>
          <w:sz w:val="20"/>
        </w:rPr>
        <w:t>Roof repair: three quotes received, ranging $18,400 to $31,000. The middle quote includes gutter replacement, which the low quote does not.</w:t>
      </w:r>
    </w:p>
    <w:p>
      <w:pPr>
        <w:spacing w:before="160" w:after="80"/>
      </w:pPr>
      <w:r>
        <w:rPr>
          <w:rFonts w:ascii="Arial" w:hAnsi="Arial"/>
          <w:b/>
          <w:color w:val="C85A3B"/>
          <w:sz w:val="24"/>
        </w:rPr>
        <w:t>New business</w:t>
      </w:r>
    </w:p>
    <w:p>
      <w:pPr>
        <w:pStyle w:val="ListBullet"/>
      </w:pPr>
      <w:r>
        <w:rPr>
          <w:rFonts w:ascii="Arial" w:hAnsi="Arial"/>
          <w:sz w:val="20"/>
        </w:rPr>
        <w:t>Background check policy: proposal to move from three-year to two-year renewal, and to extend screening to anyone handling money.</w:t>
      </w:r>
    </w:p>
    <w:p>
      <w:pPr>
        <w:pStyle w:val="ListBullet"/>
      </w:pPr>
      <w:r>
        <w:rPr>
          <w:rFonts w:ascii="Arial" w:hAnsi="Arial"/>
          <w:sz w:val="20"/>
        </w:rPr>
        <w:t>Midweek meal programme: proposal to run a Wednesday meal through the autumn, requiring roughly $400 a month and a volunteer coordinator.</w:t>
      </w:r>
    </w:p>
    <w:p>
      <w:r>
        <w:br w:type="page"/>
      </w:r>
    </w:p>
    <w:p>
      <w:pPr>
        <w:spacing w:before="0" w:after="80"/>
      </w:pPr>
      <w:r>
        <w:rPr>
          <w:rFonts w:ascii="Arial" w:hAnsi="Arial"/>
          <w:b/>
          <w:color w:val="C85A3B"/>
          <w:sz w:val="28"/>
        </w:rPr>
        <w:t>Motions</w:t>
      </w:r>
    </w:p>
    <w:tbl>
      <w:tblPr>
        <w:tblStyle w:val="TableGrid"/>
        <w:tblW w:type="auto" w:w="0"/>
        <w:tblLook w:firstColumn="1" w:firstRow="1" w:lastColumn="0" w:lastRow="0" w:noHBand="0" w:noVBand="1" w:val="04A0"/>
      </w:tblPr>
      <w:tblGrid>
        <w:gridCol w:w="1987"/>
        <w:gridCol w:w="1987"/>
        <w:gridCol w:w="1987"/>
        <w:gridCol w:w="1987"/>
        <w:gridCol w:w="1987"/>
      </w:tblGrid>
      <w:tr>
        <w:tc>
          <w:tcPr>
            <w:tcW w:type="dxa" w:w="3024"/>
            <w:shd w:val="clear" w:fill="EE7A59"/>
          </w:tcPr>
          <w:p>
            <w:r/>
            <w:r>
              <w:rPr>
                <w:rFonts w:ascii="Arial" w:hAnsi="Arial"/>
                <w:b/>
                <w:i w:val="0"/>
                <w:color w:val="FFFFFF"/>
                <w:sz w:val="18"/>
              </w:rPr>
              <w:t>Motion</w:t>
            </w:r>
          </w:p>
        </w:tc>
        <w:tc>
          <w:tcPr>
            <w:tcW w:type="dxa" w:w="1728"/>
            <w:shd w:val="clear" w:fill="EE7A59"/>
          </w:tcPr>
          <w:p>
            <w:r/>
            <w:r>
              <w:rPr>
                <w:rFonts w:ascii="Arial" w:hAnsi="Arial"/>
                <w:b/>
                <w:i w:val="0"/>
                <w:color w:val="FFFFFF"/>
                <w:sz w:val="18"/>
              </w:rPr>
              <w:t>Moved / seconded</w:t>
            </w:r>
          </w:p>
        </w:tc>
        <w:tc>
          <w:tcPr>
            <w:tcW w:type="dxa" w:w="2880"/>
            <w:shd w:val="clear" w:fill="EE7A59"/>
          </w:tcPr>
          <w:p>
            <w:r/>
            <w:r>
              <w:rPr>
                <w:rFonts w:ascii="Arial" w:hAnsi="Arial"/>
                <w:b/>
                <w:i w:val="0"/>
                <w:color w:val="FFFFFF"/>
                <w:sz w:val="18"/>
              </w:rPr>
              <w:t>Discussion</w:t>
            </w:r>
          </w:p>
        </w:tc>
        <w:tc>
          <w:tcPr>
            <w:tcW w:type="dxa" w:w="1224"/>
            <w:shd w:val="clear" w:fill="EE7A59"/>
          </w:tcPr>
          <w:p>
            <w:r/>
            <w:r>
              <w:rPr>
                <w:rFonts w:ascii="Arial" w:hAnsi="Arial"/>
                <w:b/>
                <w:i w:val="0"/>
                <w:color w:val="FFFFFF"/>
                <w:sz w:val="18"/>
              </w:rPr>
              <w:t>For / Ag / Abs</w:t>
            </w:r>
          </w:p>
        </w:tc>
        <w:tc>
          <w:tcPr>
            <w:tcW w:type="dxa" w:w="1080"/>
            <w:shd w:val="clear" w:fill="EE7A59"/>
          </w:tcPr>
          <w:p>
            <w:r/>
            <w:r>
              <w:rPr>
                <w:rFonts w:ascii="Arial" w:hAnsi="Arial"/>
                <w:b/>
                <w:i w:val="0"/>
                <w:color w:val="FFFFFF"/>
                <w:sz w:val="18"/>
              </w:rPr>
              <w:t>Carried?</w:t>
            </w:r>
          </w:p>
        </w:tc>
      </w:tr>
      <w:tr>
        <w:tc>
          <w:tcPr>
            <w:tcW w:type="dxa" w:w="3024"/>
          </w:tcPr>
          <w:p>
            <w:r/>
            <w:r>
              <w:rPr>
                <w:rFonts w:ascii="Arial" w:hAnsi="Arial"/>
                <w:b w:val="0"/>
                <w:i w:val="0"/>
                <w:sz w:val="20"/>
              </w:rPr>
              <w:t>Accept the Halvorsen quote for roof and gutter work, $24,800</w:t>
            </w:r>
          </w:p>
        </w:tc>
        <w:tc>
          <w:tcPr>
            <w:tcW w:type="dxa" w:w="1728"/>
          </w:tcPr>
          <w:p>
            <w:r/>
            <w:r>
              <w:rPr>
                <w:rFonts w:ascii="Arial" w:hAnsi="Arial"/>
                <w:b w:val="0"/>
                <w:i w:val="0"/>
                <w:sz w:val="20"/>
              </w:rPr>
              <w:t>T. Bradley / M. Webb</w:t>
            </w:r>
          </w:p>
        </w:tc>
        <w:tc>
          <w:tcPr>
            <w:tcW w:type="dxa" w:w="2880"/>
          </w:tcPr>
          <w:p>
            <w:r/>
            <w:r>
              <w:rPr>
                <w:rFonts w:ascii="Arial" w:hAnsi="Arial"/>
                <w:b w:val="0"/>
                <w:i w:val="0"/>
                <w:sz w:val="20"/>
              </w:rPr>
              <w:t>Gutters would need doing within two years anyway; doing both now avoids a second scaffolding cost.</w:t>
            </w:r>
          </w:p>
        </w:tc>
        <w:tc>
          <w:tcPr>
            <w:tcW w:type="dxa" w:w="1224"/>
          </w:tcPr>
          <w:p>
            <w:r/>
            <w:r>
              <w:rPr>
                <w:rFonts w:ascii="Arial" w:hAnsi="Arial"/>
                <w:b w:val="0"/>
                <w:i w:val="0"/>
                <w:sz w:val="20"/>
              </w:rPr>
              <w:t>6 / 0 / 0</w:t>
            </w:r>
          </w:p>
        </w:tc>
        <w:tc>
          <w:tcPr>
            <w:tcW w:type="dxa" w:w="1080"/>
          </w:tcPr>
          <w:p>
            <w:r/>
            <w:r>
              <w:rPr>
                <w:rFonts w:ascii="Arial" w:hAnsi="Arial"/>
                <w:b w:val="0"/>
                <w:i w:val="0"/>
                <w:sz w:val="20"/>
              </w:rPr>
              <w:t>Carried</w:t>
            </w:r>
          </w:p>
        </w:tc>
      </w:tr>
      <w:tr>
        <w:tc>
          <w:tcPr>
            <w:tcW w:type="dxa" w:w="3024"/>
          </w:tcPr>
          <w:p>
            <w:r/>
            <w:r>
              <w:rPr>
                <w:rFonts w:ascii="Arial" w:hAnsi="Arial"/>
                <w:b w:val="0"/>
                <w:i w:val="0"/>
                <w:sz w:val="20"/>
              </w:rPr>
              <w:t>Move background checks to a two-year renewal and extend screening to anyone handling money</w:t>
            </w:r>
          </w:p>
        </w:tc>
        <w:tc>
          <w:tcPr>
            <w:tcW w:type="dxa" w:w="1728"/>
          </w:tcPr>
          <w:p>
            <w:r/>
            <w:r>
              <w:rPr>
                <w:rFonts w:ascii="Arial" w:hAnsi="Arial"/>
                <w:b w:val="0"/>
                <w:i w:val="0"/>
                <w:sz w:val="20"/>
              </w:rPr>
              <w:t>G. Okafor / S. Mitchell</w:t>
            </w:r>
          </w:p>
        </w:tc>
        <w:tc>
          <w:tcPr>
            <w:tcW w:type="dxa" w:w="2880"/>
          </w:tcPr>
          <w:p>
            <w:r/>
            <w:r>
              <w:rPr>
                <w:rFonts w:ascii="Arial" w:hAnsi="Arial"/>
                <w:b w:val="0"/>
                <w:i w:val="0"/>
                <w:sz w:val="20"/>
              </w:rPr>
              <w:t>Insurer recommends two years. Counting team currently unscreened.</w:t>
            </w:r>
          </w:p>
        </w:tc>
        <w:tc>
          <w:tcPr>
            <w:tcW w:type="dxa" w:w="1224"/>
          </w:tcPr>
          <w:p>
            <w:r/>
            <w:r>
              <w:rPr>
                <w:rFonts w:ascii="Arial" w:hAnsi="Arial"/>
                <w:b w:val="0"/>
                <w:i w:val="0"/>
                <w:sz w:val="20"/>
              </w:rPr>
              <w:t>6 / 0 / 0</w:t>
            </w:r>
          </w:p>
        </w:tc>
        <w:tc>
          <w:tcPr>
            <w:tcW w:type="dxa" w:w="1080"/>
          </w:tcPr>
          <w:p>
            <w:r/>
            <w:r>
              <w:rPr>
                <w:rFonts w:ascii="Arial" w:hAnsi="Arial"/>
                <w:b w:val="0"/>
                <w:i w:val="0"/>
                <w:sz w:val="20"/>
              </w:rPr>
              <w:t>Carried</w:t>
            </w:r>
          </w:p>
        </w:tc>
      </w:tr>
      <w:tr>
        <w:tc>
          <w:tcPr>
            <w:tcW w:type="dxa" w:w="3024"/>
          </w:tcPr>
          <w:p>
            <w:r/>
            <w:r>
              <w:rPr>
                <w:rFonts w:ascii="Arial" w:hAnsi="Arial"/>
                <w:b w:val="0"/>
                <w:i w:val="0"/>
                <w:sz w:val="20"/>
              </w:rPr>
              <w:t>Fund a Wednesday meal programme at $400/month from general funds through December</w:t>
            </w:r>
          </w:p>
        </w:tc>
        <w:tc>
          <w:tcPr>
            <w:tcW w:type="dxa" w:w="1728"/>
          </w:tcPr>
          <w:p>
            <w:r/>
            <w:r>
              <w:rPr>
                <w:rFonts w:ascii="Arial" w:hAnsi="Arial"/>
                <w:b w:val="0"/>
                <w:i w:val="0"/>
                <w:sz w:val="20"/>
              </w:rPr>
              <w:t>M. Webb / —</w:t>
            </w:r>
          </w:p>
        </w:tc>
        <w:tc>
          <w:tcPr>
            <w:tcW w:type="dxa" w:w="2880"/>
          </w:tcPr>
          <w:p>
            <w:r/>
            <w:r>
              <w:rPr>
                <w:rFonts w:ascii="Arial" w:hAnsi="Arial"/>
                <w:b w:val="0"/>
                <w:i w:val="0"/>
                <w:sz w:val="20"/>
              </w:rPr>
              <w:t>No coordinator identified. Chair ruled the motion lapsed for want of a seconder; to return in September with a named coordinator.</w:t>
            </w:r>
          </w:p>
        </w:tc>
        <w:tc>
          <w:tcPr>
            <w:tcW w:type="dxa" w:w="1224"/>
          </w:tcPr>
          <w:p>
            <w:r/>
            <w:r>
              <w:rPr>
                <w:rFonts w:ascii="Arial" w:hAnsi="Arial"/>
                <w:b w:val="0"/>
                <w:i w:val="0"/>
                <w:sz w:val="20"/>
              </w:rPr>
              <w:t>—</w:t>
            </w:r>
          </w:p>
        </w:tc>
        <w:tc>
          <w:tcPr>
            <w:tcW w:type="dxa" w:w="1080"/>
          </w:tcPr>
          <w:p>
            <w:r/>
            <w:r>
              <w:rPr>
                <w:rFonts w:ascii="Arial" w:hAnsi="Arial"/>
                <w:b w:val="0"/>
                <w:i w:val="0"/>
                <w:sz w:val="20"/>
              </w:rPr>
              <w:t>Lapsed</w:t>
            </w:r>
          </w:p>
        </w:tc>
      </w:tr>
    </w:tbl>
    <w:p>
      <w:pPr>
        <w:spacing w:after="160"/>
      </w:pPr>
      <w:r>
        <w:rPr>
          <w:rFonts w:ascii="Arial" w:hAnsi="Arial"/>
          <w:i/>
          <w:color w:val="8A857C"/>
          <w:sz w:val="18"/>
        </w:rPr>
        <w:t>One motion here fails on purpose. Minutes that only ever record unanimous agreement are minutes nobody trusts two years later.</w:t>
      </w:r>
    </w:p>
    <w:p>
      <w:pPr>
        <w:spacing w:after="120"/>
      </w:pPr>
    </w:p>
    <w:p>
      <w:pPr>
        <w:spacing w:before="120" w:after="80"/>
      </w:pPr>
      <w:r>
        <w:rPr>
          <w:rFonts w:ascii="Arial" w:hAnsi="Arial"/>
          <w:b/>
          <w:color w:val="C85A3B"/>
          <w:sz w:val="28"/>
        </w:rPr>
        <w:t>Action items</w:t>
      </w:r>
    </w:p>
    <w:tbl>
      <w:tblPr>
        <w:tblStyle w:val="TableGrid"/>
        <w:tblW w:type="auto" w:w="0"/>
        <w:tblLook w:firstColumn="1" w:firstRow="1" w:lastColumn="0" w:lastRow="0" w:noHBand="0" w:noVBand="1" w:val="04A0"/>
      </w:tblPr>
      <w:tblGrid>
        <w:gridCol w:w="3312"/>
        <w:gridCol w:w="3312"/>
        <w:gridCol w:w="3312"/>
      </w:tblGrid>
      <w:tr>
        <w:tc>
          <w:tcPr>
            <w:tcW w:type="dxa" w:w="6048"/>
            <w:shd w:val="clear" w:fill="EE7A59"/>
          </w:tcPr>
          <w:p>
            <w:r/>
            <w:r>
              <w:rPr>
                <w:rFonts w:ascii="Arial" w:hAnsi="Arial"/>
                <w:b/>
                <w:i w:val="0"/>
                <w:color w:val="FFFFFF"/>
                <w:sz w:val="18"/>
              </w:rPr>
              <w:t>Item</w:t>
            </w:r>
          </w:p>
        </w:tc>
        <w:tc>
          <w:tcPr>
            <w:tcW w:type="dxa" w:w="2304"/>
            <w:shd w:val="clear" w:fill="EE7A59"/>
          </w:tcPr>
          <w:p>
            <w:r/>
            <w:r>
              <w:rPr>
                <w:rFonts w:ascii="Arial" w:hAnsi="Arial"/>
                <w:b/>
                <w:i w:val="0"/>
                <w:color w:val="FFFFFF"/>
                <w:sz w:val="18"/>
              </w:rPr>
              <w:t>Owner</w:t>
            </w:r>
          </w:p>
        </w:tc>
        <w:tc>
          <w:tcPr>
            <w:tcW w:type="dxa" w:w="1584"/>
            <w:shd w:val="clear" w:fill="EE7A59"/>
          </w:tcPr>
          <w:p>
            <w:r/>
            <w:r>
              <w:rPr>
                <w:rFonts w:ascii="Arial" w:hAnsi="Arial"/>
                <w:b/>
                <w:i w:val="0"/>
                <w:color w:val="FFFFFF"/>
                <w:sz w:val="18"/>
              </w:rPr>
              <w:t>Due</w:t>
            </w:r>
          </w:p>
        </w:tc>
      </w:tr>
      <w:tr>
        <w:tc>
          <w:tcPr>
            <w:tcW w:type="dxa" w:w="6048"/>
          </w:tcPr>
          <w:p>
            <w:r/>
            <w:r>
              <w:rPr>
                <w:rFonts w:ascii="Arial" w:hAnsi="Arial"/>
                <w:b w:val="0"/>
                <w:i w:val="0"/>
                <w:sz w:val="20"/>
              </w:rPr>
              <w:t>Sign and return the Halvorsen contract; confirm start date</w:t>
            </w:r>
          </w:p>
        </w:tc>
        <w:tc>
          <w:tcPr>
            <w:tcW w:type="dxa" w:w="2304"/>
          </w:tcPr>
          <w:p>
            <w:r/>
            <w:r>
              <w:rPr>
                <w:rFonts w:ascii="Arial" w:hAnsi="Arial"/>
                <w:b w:val="0"/>
                <w:i w:val="0"/>
                <w:sz w:val="20"/>
              </w:rPr>
              <w:t>Daniel Ruiz</w:t>
            </w:r>
          </w:p>
        </w:tc>
        <w:tc>
          <w:tcPr>
            <w:tcW w:type="dxa" w:w="1584"/>
          </w:tcPr>
          <w:p>
            <w:r/>
            <w:r>
              <w:rPr>
                <w:rFonts w:ascii="Arial" w:hAnsi="Arial"/>
                <w:b w:val="0"/>
                <w:i w:val="0"/>
                <w:sz w:val="20"/>
              </w:rPr>
              <w:t>Aug 29</w:t>
            </w:r>
          </w:p>
        </w:tc>
      </w:tr>
      <w:tr>
        <w:tc>
          <w:tcPr>
            <w:tcW w:type="dxa" w:w="6048"/>
          </w:tcPr>
          <w:p>
            <w:r/>
            <w:r>
              <w:rPr>
                <w:rFonts w:ascii="Arial" w:hAnsi="Arial"/>
                <w:b w:val="0"/>
                <w:i w:val="0"/>
                <w:sz w:val="20"/>
              </w:rPr>
              <w:t>Update the background check policy document and circulate</w:t>
            </w:r>
          </w:p>
        </w:tc>
        <w:tc>
          <w:tcPr>
            <w:tcW w:type="dxa" w:w="2304"/>
          </w:tcPr>
          <w:p>
            <w:r/>
            <w:r>
              <w:rPr>
                <w:rFonts w:ascii="Arial" w:hAnsi="Arial"/>
                <w:b w:val="0"/>
                <w:i w:val="0"/>
                <w:sz w:val="20"/>
              </w:rPr>
              <w:t>Karen Foster</w:t>
            </w:r>
          </w:p>
        </w:tc>
        <w:tc>
          <w:tcPr>
            <w:tcW w:type="dxa" w:w="1584"/>
          </w:tcPr>
          <w:p>
            <w:r/>
            <w:r>
              <w:rPr>
                <w:rFonts w:ascii="Arial" w:hAnsi="Arial"/>
                <w:b w:val="0"/>
                <w:i w:val="0"/>
                <w:sz w:val="20"/>
              </w:rPr>
              <w:t>Sep 8</w:t>
            </w:r>
          </w:p>
        </w:tc>
      </w:tr>
      <w:tr>
        <w:tc>
          <w:tcPr>
            <w:tcW w:type="dxa" w:w="6048"/>
          </w:tcPr>
          <w:p>
            <w:r/>
            <w:r>
              <w:rPr>
                <w:rFonts w:ascii="Arial" w:hAnsi="Arial"/>
                <w:b w:val="0"/>
                <w:i w:val="0"/>
                <w:sz w:val="20"/>
              </w:rPr>
              <w:t>Run checks on the four unscreened counting team members</w:t>
            </w:r>
          </w:p>
        </w:tc>
        <w:tc>
          <w:tcPr>
            <w:tcW w:type="dxa" w:w="2304"/>
          </w:tcPr>
          <w:p>
            <w:r/>
            <w:r>
              <w:rPr>
                <w:rFonts w:ascii="Arial" w:hAnsi="Arial"/>
                <w:b w:val="0"/>
                <w:i w:val="0"/>
                <w:sz w:val="20"/>
              </w:rPr>
              <w:t>Grace Okafor</w:t>
            </w:r>
          </w:p>
        </w:tc>
        <w:tc>
          <w:tcPr>
            <w:tcW w:type="dxa" w:w="1584"/>
          </w:tcPr>
          <w:p>
            <w:r/>
            <w:r>
              <w:rPr>
                <w:rFonts w:ascii="Arial" w:hAnsi="Arial"/>
                <w:b w:val="0"/>
                <w:i w:val="0"/>
                <w:sz w:val="20"/>
              </w:rPr>
              <w:t>Sep 30</w:t>
            </w:r>
          </w:p>
        </w:tc>
      </w:tr>
      <w:tr>
        <w:tc>
          <w:tcPr>
            <w:tcW w:type="dxa" w:w="6048"/>
          </w:tcPr>
          <w:p>
            <w:r/>
            <w:r>
              <w:rPr>
                <w:rFonts w:ascii="Arial" w:hAnsi="Arial"/>
                <w:b w:val="0"/>
                <w:i w:val="0"/>
                <w:sz w:val="20"/>
              </w:rPr>
              <w:t>Find a coordinator for the midweek meal, or withdraw the proposal</w:t>
            </w:r>
          </w:p>
        </w:tc>
        <w:tc>
          <w:tcPr>
            <w:tcW w:type="dxa" w:w="2304"/>
          </w:tcPr>
          <w:p>
            <w:r/>
            <w:r>
              <w:rPr>
                <w:rFonts w:ascii="Arial" w:hAnsi="Arial"/>
                <w:b w:val="0"/>
                <w:i w:val="0"/>
                <w:sz w:val="20"/>
              </w:rPr>
              <w:t>Marcus Webb</w:t>
            </w:r>
          </w:p>
        </w:tc>
        <w:tc>
          <w:tcPr>
            <w:tcW w:type="dxa" w:w="1584"/>
          </w:tcPr>
          <w:p>
            <w:r/>
            <w:r>
              <w:rPr>
                <w:rFonts w:ascii="Arial" w:hAnsi="Arial"/>
                <w:b w:val="0"/>
                <w:i w:val="0"/>
                <w:sz w:val="20"/>
              </w:rPr>
              <w:t>Sep 15</w:t>
            </w:r>
          </w:p>
        </w:tc>
      </w:tr>
    </w:tbl>
    <w:p>
      <w:pPr>
        <w:spacing w:before="160" w:after="80"/>
      </w:pPr>
      <w:r>
        <w:rPr>
          <w:rFonts w:ascii="Arial" w:hAnsi="Arial"/>
          <w:b/>
          <w:color w:val="C85A3B"/>
          <w:sz w:val="24"/>
        </w:rPr>
        <w:t>Executive session</w:t>
      </w:r>
    </w:p>
    <w:p>
      <w:pPr>
        <w:pStyle w:val="ListBullet"/>
      </w:pPr>
      <w:r>
        <w:rPr>
          <w:rFonts w:ascii="Arial" w:hAnsi="Arial"/>
          <w:sz w:val="20"/>
        </w:rPr>
        <w:t>Entered executive session at 8:22 PM; returned at 8:38 PM. One personnel matter discussed. No motions made.</w:t>
      </w:r>
    </w:p>
    <w:p>
      <w:pPr>
        <w:spacing w:after="160"/>
      </w:pPr>
      <w:r>
        <w:rPr>
          <w:rFonts w:ascii="Arial" w:hAnsi="Arial"/>
          <w:i/>
          <w:color w:val="8A857C"/>
          <w:sz w:val="18"/>
        </w:rPr>
        <w:t>Executive session is for personnel, discipline, legal advice and property negotiation. It is not for anything the board would simply rather not minute. Record that you entered one, when you left it, and whether anything was decided.</w:t>
      </w:r>
    </w:p>
    <w:p>
      <w:pPr>
        <w:spacing w:before="160" w:after="80"/>
      </w:pPr>
      <w:r>
        <w:rPr>
          <w:rFonts w:ascii="Arial" w:hAnsi="Arial"/>
          <w:b/>
          <w:color w:val="C85A3B"/>
          <w:sz w:val="24"/>
        </w:rPr>
        <w:t>Next meeting</w:t>
      </w:r>
    </w:p>
    <w:p>
      <w:pPr>
        <w:pStyle w:val="ListBullet"/>
      </w:pPr>
      <w:r>
        <w:rPr>
          <w:rFonts w:ascii="Arial" w:hAnsi="Arial"/>
          <w:sz w:val="20"/>
        </w:rPr>
        <w:t>Tuesday, September 15, 2026, 7:00 PM, Room 204.</w:t>
      </w:r>
    </w:p>
    <w:p>
      <w:pPr>
        <w:spacing w:after="200"/>
      </w:pPr>
    </w:p>
    <w:tbl>
      <w:tblPr>
        <w:tblStyle w:val="TableGrid"/>
        <w:tblW w:type="auto" w:w="0"/>
        <w:tblLook w:firstColumn="1" w:firstRow="1" w:lastColumn="0" w:lastRow="0" w:noHBand="0" w:noVBand="1" w:val="04A0"/>
      </w:tblPr>
      <w:tblGrid>
        <w:gridCol w:w="2484"/>
        <w:gridCol w:w="2484"/>
        <w:gridCol w:w="2484"/>
        <w:gridCol w:w="2484"/>
      </w:tblGrid>
      <w:tr>
        <w:tc>
          <w:tcPr>
            <w:tcW w:type="dxa" w:w="1728"/>
            <w:shd w:val="clear" w:fill="F4EDE3"/>
          </w:tcPr>
          <w:p>
            <w:r/>
            <w:r>
              <w:rPr>
                <w:rFonts w:ascii="Arial" w:hAnsi="Arial"/>
                <w:b/>
                <w:i w:val="0"/>
                <w:color w:val="C85A3B"/>
                <w:sz w:val="18"/>
              </w:rPr>
              <w:t>Chair</w:t>
            </w:r>
          </w:p>
        </w:tc>
        <w:tc>
          <w:tcPr>
            <w:tcW w:type="dxa" w:w="3312"/>
          </w:tcPr>
          <w:p>
            <w:r/>
            <w:r>
              <w:rPr>
                <w:rFonts w:ascii="Arial" w:hAnsi="Arial"/>
                <w:b w:val="0"/>
                <w:i w:val="0"/>
                <w:sz w:val="20"/>
              </w:rPr>
            </w:r>
          </w:p>
        </w:tc>
        <w:tc>
          <w:tcPr>
            <w:tcW w:type="dxa" w:w="1728"/>
            <w:shd w:val="clear" w:fill="F4EDE3"/>
          </w:tcPr>
          <w:p>
            <w:r/>
            <w:r>
              <w:rPr>
                <w:rFonts w:ascii="Arial" w:hAnsi="Arial"/>
                <w:b/>
                <w:i w:val="0"/>
                <w:color w:val="C85A3B"/>
                <w:sz w:val="18"/>
              </w:rPr>
              <w:t>Date</w:t>
            </w:r>
          </w:p>
        </w:tc>
        <w:tc>
          <w:tcPr>
            <w:tcW w:type="dxa" w:w="3168"/>
          </w:tcPr>
          <w:p>
            <w:r/>
            <w:r>
              <w:rPr>
                <w:rFonts w:ascii="Arial" w:hAnsi="Arial"/>
                <w:b w:val="0"/>
                <w:i w:val="0"/>
                <w:sz w:val="20"/>
              </w:rPr>
            </w:r>
          </w:p>
        </w:tc>
      </w:tr>
      <w:tr>
        <w:tc>
          <w:tcPr>
            <w:tcW w:type="dxa" w:w="1728"/>
            <w:shd w:val="clear" w:fill="F4EDE3"/>
          </w:tcPr>
          <w:p>
            <w:r/>
            <w:r>
              <w:rPr>
                <w:rFonts w:ascii="Arial" w:hAnsi="Arial"/>
                <w:b/>
                <w:i w:val="0"/>
                <w:color w:val="C85A3B"/>
                <w:sz w:val="18"/>
              </w:rPr>
              <w:t>Secretary</w:t>
            </w:r>
          </w:p>
        </w:tc>
        <w:tc>
          <w:tcPr>
            <w:tcW w:type="dxa" w:w="3312"/>
          </w:tcPr>
          <w:p>
            <w:r/>
            <w:r>
              <w:rPr>
                <w:rFonts w:ascii="Arial" w:hAnsi="Arial"/>
                <w:b w:val="0"/>
                <w:i w:val="0"/>
                <w:sz w:val="20"/>
              </w:rPr>
            </w:r>
          </w:p>
        </w:tc>
        <w:tc>
          <w:tcPr>
            <w:tcW w:type="dxa" w:w="1728"/>
            <w:shd w:val="clear" w:fill="F4EDE3"/>
          </w:tcPr>
          <w:p>
            <w:r/>
            <w:r>
              <w:rPr>
                <w:rFonts w:ascii="Arial" w:hAnsi="Arial"/>
                <w:b/>
                <w:i w:val="0"/>
                <w:color w:val="C85A3B"/>
                <w:sz w:val="18"/>
              </w:rPr>
              <w:t>Date</w:t>
            </w:r>
          </w:p>
        </w:tc>
        <w:tc>
          <w:tcPr>
            <w:tcW w:type="dxa" w:w="3168"/>
          </w:tcPr>
          <w:p>
            <w:r/>
            <w:r>
              <w:rPr>
                <w:rFonts w:ascii="Arial" w:hAnsi="Arial"/>
                <w:b w:val="0"/>
                <w:i w:val="0"/>
                <w:sz w:val="20"/>
              </w:rPr>
            </w:r>
          </w:p>
        </w:tc>
      </w:tr>
    </w:tbl>
    <w:sectPr w:rsidR="00FC693F" w:rsidRPr="0006063C" w:rsidSect="00034616">
      <w:footerReference w:type="default" r:id="rId9"/>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8A857C"/>
        <w:sz w:val="16"/>
      </w:rPr>
      <w:t>Free template from MinistryPlanner.church — minutes your successor can actually search</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