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80"/>
      </w:pPr>
      <w:r>
        <w:rPr>
          <w:rFonts w:ascii="Arial" w:hAnsi="Arial"/>
          <w:b/>
          <w:color w:val="3D3A34"/>
          <w:sz w:val="44"/>
        </w:rPr>
        <w:t>Expository Sermon Worksheet</w:t>
      </w:r>
    </w:p>
    <w:p>
      <w:pPr>
        <w:spacing w:after="200"/>
      </w:pPr>
      <w:r>
        <w:rPr>
          <w:rFonts w:ascii="Arial" w:hAnsi="Arial"/>
          <w:i/>
          <w:color w:val="8A857C"/>
          <w:sz w:val="20"/>
        </w:rPr>
        <w:t>For the weeks where the text needs more than a morning.</w:t>
      </w:r>
    </w:p>
    <w:p>
      <w:pPr>
        <w:spacing w:after="160"/>
      </w:pPr>
      <w:r>
        <w:rPr>
          <w:rFonts w:ascii="Arial" w:hAnsi="Arial"/>
          <w:i/>
          <w:color w:val="8A857C"/>
          <w:sz w:val="18"/>
        </w:rPr>
        <w:t>Rule of the page: write your own sentence in section 4 BEFORE you open a commentary. Otherwise you will preach the commentary and call it exegesis.</w:t>
      </w:r>
    </w:p>
    <w:tbl>
      <w:tblPr>
        <w:tblStyle w:val="TableGrid"/>
        <w:tblW w:type="auto" w:w="0"/>
        <w:tblLook w:firstColumn="1" w:firstRow="1" w:lastColumn="0" w:lastRow="0" w:noHBand="0" w:noVBand="1" w:val="04A0"/>
      </w:tblPr>
      <w:tblGrid>
        <w:gridCol w:w="2484"/>
        <w:gridCol w:w="2484"/>
        <w:gridCol w:w="2484"/>
        <w:gridCol w:w="2484"/>
      </w:tblGrid>
      <w:tr>
        <w:tc>
          <w:tcPr>
            <w:tcW w:type="dxa" w:w="1728"/>
            <w:shd w:val="clear" w:fill="F4EDE3"/>
          </w:tcPr>
          <w:p>
            <w:r/>
            <w:r>
              <w:rPr>
                <w:rFonts w:ascii="Arial" w:hAnsi="Arial"/>
                <w:b/>
                <w:i w:val="0"/>
                <w:color w:val="C85A3B"/>
                <w:sz w:val="18"/>
              </w:rPr>
              <w:t>Text</w:t>
            </w:r>
          </w:p>
        </w:tc>
        <w:tc>
          <w:tcPr>
            <w:tcW w:type="dxa" w:w="3312"/>
          </w:tcPr>
          <w:p>
            <w:r/>
            <w:r>
              <w:rPr>
                <w:rFonts w:ascii="Arial" w:hAnsi="Arial"/>
                <w:b w:val="0"/>
                <w:i w:val="0"/>
                <w:sz w:val="20"/>
              </w:rPr>
            </w:r>
          </w:p>
        </w:tc>
        <w:tc>
          <w:tcPr>
            <w:tcW w:type="dxa" w:w="1728"/>
            <w:shd w:val="clear" w:fill="F4EDE3"/>
          </w:tcPr>
          <w:p>
            <w:r/>
            <w:r>
              <w:rPr>
                <w:rFonts w:ascii="Arial" w:hAnsi="Arial"/>
                <w:b/>
                <w:i w:val="0"/>
                <w:color w:val="C85A3B"/>
                <w:sz w:val="18"/>
              </w:rPr>
              <w:t>Date</w:t>
            </w:r>
          </w:p>
        </w:tc>
        <w:tc>
          <w:tcPr>
            <w:tcW w:type="dxa" w:w="3168"/>
          </w:tcPr>
          <w:p>
            <w:r/>
            <w:r>
              <w:rPr>
                <w:rFonts w:ascii="Arial" w:hAnsi="Arial"/>
                <w:b w:val="0"/>
                <w:i w:val="0"/>
                <w:sz w:val="20"/>
              </w:rPr>
            </w:r>
          </w:p>
        </w:tc>
      </w:tr>
      <w:tr>
        <w:tc>
          <w:tcPr>
            <w:tcW w:type="dxa" w:w="1728"/>
            <w:shd w:val="clear" w:fill="F4EDE3"/>
          </w:tcPr>
          <w:p>
            <w:r/>
            <w:r>
              <w:rPr>
                <w:rFonts w:ascii="Arial" w:hAnsi="Arial"/>
                <w:b/>
                <w:i w:val="0"/>
                <w:color w:val="C85A3B"/>
                <w:sz w:val="18"/>
              </w:rPr>
              <w:t>Series</w:t>
            </w:r>
          </w:p>
        </w:tc>
        <w:tc>
          <w:tcPr>
            <w:tcW w:type="dxa" w:w="3312"/>
          </w:tcPr>
          <w:p>
            <w:r/>
            <w:r>
              <w:rPr>
                <w:rFonts w:ascii="Arial" w:hAnsi="Arial"/>
                <w:b w:val="0"/>
                <w:i w:val="0"/>
                <w:sz w:val="20"/>
              </w:rPr>
            </w:r>
          </w:p>
        </w:tc>
        <w:tc>
          <w:tcPr>
            <w:tcW w:type="dxa" w:w="1728"/>
            <w:shd w:val="clear" w:fill="F4EDE3"/>
          </w:tcPr>
          <w:p>
            <w:r/>
            <w:r>
              <w:rPr>
                <w:rFonts w:ascii="Arial" w:hAnsi="Arial"/>
                <w:b/>
                <w:i w:val="0"/>
                <w:color w:val="C85A3B"/>
                <w:sz w:val="18"/>
              </w:rPr>
              <w:t>Speaker</w:t>
            </w:r>
          </w:p>
        </w:tc>
        <w:tc>
          <w:tcPr>
            <w:tcW w:type="dxa" w:w="3168"/>
          </w:tcPr>
          <w:p>
            <w:r/>
            <w:r>
              <w:rPr>
                <w:rFonts w:ascii="Arial" w:hAnsi="Arial"/>
                <w:b w:val="0"/>
                <w:i w:val="0"/>
                <w:sz w:val="20"/>
              </w:rPr>
            </w:r>
          </w:p>
        </w:tc>
      </w:tr>
    </w:tbl>
    <w:p>
      <w:pPr>
        <w:spacing w:after="80"/>
      </w:pPr>
    </w:p>
    <w:p>
      <w:pPr>
        <w:spacing w:before="120" w:after="80"/>
      </w:pPr>
      <w:r>
        <w:rPr>
          <w:rFonts w:ascii="Arial" w:hAnsi="Arial"/>
          <w:b/>
          <w:color w:val="C85A3B"/>
          <w:sz w:val="26"/>
        </w:rPr>
        <w:t>1. The text in front of you</w:t>
      </w:r>
    </w:p>
    <w:p>
      <w:pPr>
        <w:spacing w:after="120"/>
      </w:pPr>
      <w:r>
        <w:rPr>
          <w:rFonts w:ascii="Arial" w:hAnsi="Arial"/>
          <w:sz w:val="20"/>
        </w:rPr>
        <w:t>Your own working translation or preferred version, written out: ____________________________________________________________________________________________</w:t>
      </w:r>
    </w:p>
    <w:p>
      <w:pPr>
        <w:spacing w:after="120"/>
      </w:pPr>
      <w:r>
        <w:rPr>
          <w:rFonts w:ascii="Arial" w:hAnsi="Arial"/>
          <w:sz w:val="20"/>
        </w:rPr>
        <w:t>____________________________________________________________________________________________</w:t>
      </w:r>
    </w:p>
    <w:p>
      <w:pPr>
        <w:spacing w:before="160" w:after="80"/>
      </w:pPr>
      <w:r>
        <w:rPr>
          <w:rFonts w:ascii="Arial" w:hAnsi="Arial"/>
          <w:b/>
          <w:color w:val="C85A3B"/>
          <w:sz w:val="26"/>
        </w:rPr>
        <w:t>2. Structure</w:t>
      </w:r>
    </w:p>
    <w:p>
      <w:pPr>
        <w:spacing w:after="160"/>
      </w:pPr>
      <w:r>
        <w:rPr>
          <w:rFonts w:ascii="Arial" w:hAnsi="Arial"/>
          <w:i/>
          <w:color w:val="8A857C"/>
          <w:sz w:val="18"/>
        </w:rPr>
        <w:t>Where does the thought turn? Mark the joints — conjunctions, repeated words, a change of subject or audience. Space below is deliberately empty for a diagram; draw on it by hand if you print this.</w:t>
      </w:r>
    </w:p>
    <w:p>
      <w:pPr>
        <w:spacing w:after="120"/>
      </w:pPr>
      <w:r>
        <w:rPr>
          <w:rFonts w:ascii="Arial" w:hAnsi="Arial"/>
          <w:sz w:val="20"/>
        </w:rPr>
        <w:t>________________________________________________________________________________________________</w:t>
      </w:r>
    </w:p>
    <w:p>
      <w:pPr>
        <w:spacing w:after="120"/>
      </w:pPr>
      <w:r>
        <w:rPr>
          <w:rFonts w:ascii="Arial" w:hAnsi="Arial"/>
          <w:sz w:val="20"/>
        </w:rPr>
        <w:t>________________________________________________________________________________________________</w:t>
      </w:r>
    </w:p>
    <w:p>
      <w:pPr>
        <w:spacing w:after="120"/>
      </w:pPr>
      <w:r>
        <w:rPr>
          <w:rFonts w:ascii="Arial" w:hAnsi="Arial"/>
          <w:sz w:val="20"/>
        </w:rPr>
        <w:t>________________________________________________________________________________________________</w:t>
      </w:r>
    </w:p>
    <w:p>
      <w:pPr>
        <w:spacing w:after="120"/>
      </w:pPr>
      <w:r>
        <w:rPr>
          <w:rFonts w:ascii="Arial" w:hAnsi="Arial"/>
          <w:sz w:val="20"/>
        </w:rPr>
        <w:t>________________________________________________________________________________________________</w:t>
      </w:r>
    </w:p>
    <w:p>
      <w:pPr>
        <w:spacing w:after="120"/>
      </w:pPr>
      <w:r>
        <w:rPr>
          <w:rFonts w:ascii="Arial" w:hAnsi="Arial"/>
          <w:sz w:val="20"/>
        </w:rPr>
        <w:t>________________________________________________________________________________________________</w:t>
      </w:r>
    </w:p>
    <w:p>
      <w:pPr>
        <w:spacing w:after="120"/>
      </w:pPr>
      <w:r>
        <w:rPr>
          <w:rFonts w:ascii="Arial" w:hAnsi="Arial"/>
          <w:sz w:val="20"/>
        </w:rPr>
        <w:t>________________________________________________________________________________________________</w:t>
      </w:r>
    </w:p>
    <w:p>
      <w:pPr>
        <w:spacing w:before="160" w:after="80"/>
      </w:pPr>
      <w:r>
        <w:rPr>
          <w:rFonts w:ascii="Arial" w:hAnsi="Arial"/>
          <w:b/>
          <w:color w:val="C85A3B"/>
          <w:sz w:val="26"/>
        </w:rPr>
        <w:t>3. Genre, and what it demands</w:t>
      </w:r>
    </w:p>
    <w:p>
      <w:pPr>
        <w:spacing w:after="60"/>
      </w:pPr>
      <w:r>
        <w:rPr>
          <w:rFonts w:ascii="Arial" w:hAnsi="Arial"/>
          <w:sz w:val="20"/>
        </w:rPr>
        <w:t>☐  Narrative — the point is usually made by the shape, not by a statement</w:t>
      </w:r>
    </w:p>
    <w:p>
      <w:pPr>
        <w:spacing w:after="60"/>
      </w:pPr>
      <w:r>
        <w:rPr>
          <w:rFonts w:ascii="Arial" w:hAnsi="Arial"/>
          <w:sz w:val="20"/>
        </w:rPr>
        <w:t>☐  Epistle — follow the argument; the connectives are the structure</w:t>
      </w:r>
    </w:p>
    <w:p>
      <w:pPr>
        <w:spacing w:after="60"/>
      </w:pPr>
      <w:r>
        <w:rPr>
          <w:rFonts w:ascii="Arial" w:hAnsi="Arial"/>
          <w:sz w:val="20"/>
        </w:rPr>
        <w:t>☐  Poetry — parallelism, image, and restraint; do not flatten it into prose</w:t>
      </w:r>
    </w:p>
    <w:p>
      <w:pPr>
        <w:spacing w:after="60"/>
      </w:pPr>
      <w:r>
        <w:rPr>
          <w:rFonts w:ascii="Arial" w:hAnsi="Arial"/>
          <w:sz w:val="20"/>
        </w:rPr>
        <w:t>☐  Parable — one main point, usually aimed at the people listening</w:t>
      </w:r>
    </w:p>
    <w:p>
      <w:pPr>
        <w:spacing w:after="60"/>
      </w:pPr>
      <w:r>
        <w:rPr>
          <w:rFonts w:ascii="Arial" w:hAnsi="Arial"/>
          <w:sz w:val="20"/>
        </w:rPr>
        <w:t>☐  Law / prophecy — covenant context before contemporary application</w:t>
      </w:r>
    </w:p>
    <w:p>
      <w:pPr>
        <w:spacing w:before="160" w:after="80"/>
      </w:pPr>
      <w:r>
        <w:rPr>
          <w:rFonts w:ascii="Arial" w:hAnsi="Arial"/>
          <w:b/>
          <w:color w:val="C85A3B"/>
          <w:sz w:val="26"/>
        </w:rPr>
        <w:t>4. My sentence, before the commentaries</w:t>
      </w:r>
    </w:p>
    <w:p>
      <w:pPr>
        <w:spacing w:after="120"/>
      </w:pPr>
      <w:r>
        <w:rPr>
          <w:rFonts w:ascii="Arial" w:hAnsi="Arial"/>
          <w:sz w:val="20"/>
        </w:rPr>
        <w:t>____________________________________________________________________________________________</w:t>
      </w:r>
    </w:p>
    <w:p>
      <w:pPr>
        <w:spacing w:after="120"/>
      </w:pPr>
      <w:r>
        <w:rPr>
          <w:rFonts w:ascii="Arial" w:hAnsi="Arial"/>
          <w:sz w:val="20"/>
        </w:rPr>
        <w:t>____________________________________________________________________________________________</w:t>
      </w:r>
    </w:p>
    <w:p>
      <w:pPr>
        <w:spacing w:before="160" w:after="80"/>
      </w:pPr>
      <w:r>
        <w:rPr>
          <w:rFonts w:ascii="Arial" w:hAnsi="Arial"/>
          <w:b/>
          <w:color w:val="C85A3B"/>
          <w:sz w:val="26"/>
        </w:rPr>
        <w:t>5. Commentary log</w:t>
      </w:r>
    </w:p>
    <w:tbl>
      <w:tblPr>
        <w:tblStyle w:val="TableGrid"/>
        <w:tblW w:type="auto" w:w="0"/>
        <w:tblLook w:firstColumn="1" w:firstRow="1" w:lastColumn="0" w:lastRow="0" w:noHBand="0" w:noVBand="1" w:val="04A0"/>
      </w:tblPr>
      <w:tblGrid>
        <w:gridCol w:w="2484"/>
        <w:gridCol w:w="2484"/>
        <w:gridCol w:w="2484"/>
        <w:gridCol w:w="2484"/>
      </w:tblGrid>
      <w:tr>
        <w:tc>
          <w:tcPr>
            <w:tcW w:type="dxa" w:w="2304"/>
            <w:shd w:val="clear" w:fill="EE7A59"/>
          </w:tcPr>
          <w:p>
            <w:r/>
            <w:r>
              <w:rPr>
                <w:rFonts w:ascii="Arial" w:hAnsi="Arial"/>
                <w:b/>
                <w:i w:val="0"/>
                <w:color w:val="FFFFFF"/>
                <w:sz w:val="18"/>
              </w:rPr>
              <w:t>Source</w:t>
            </w:r>
          </w:p>
        </w:tc>
        <w:tc>
          <w:tcPr>
            <w:tcW w:type="dxa" w:w="3168"/>
            <w:shd w:val="clear" w:fill="EE7A59"/>
          </w:tcPr>
          <w:p>
            <w:r/>
            <w:r>
              <w:rPr>
                <w:rFonts w:ascii="Arial" w:hAnsi="Arial"/>
                <w:b/>
                <w:i w:val="0"/>
                <w:color w:val="FFFFFF"/>
                <w:sz w:val="18"/>
              </w:rPr>
              <w:t>What it gave me</w:t>
            </w:r>
          </w:p>
        </w:tc>
        <w:tc>
          <w:tcPr>
            <w:tcW w:type="dxa" w:w="2880"/>
            <w:shd w:val="clear" w:fill="EE7A59"/>
          </w:tcPr>
          <w:p>
            <w:r/>
            <w:r>
              <w:rPr>
                <w:rFonts w:ascii="Arial" w:hAnsi="Arial"/>
                <w:b/>
                <w:i w:val="0"/>
                <w:color w:val="FFFFFF"/>
                <w:sz w:val="18"/>
              </w:rPr>
              <w:t>Where I disagreed</w:t>
            </w:r>
          </w:p>
        </w:tc>
        <w:tc>
          <w:tcPr>
            <w:tcW w:type="dxa" w:w="1296"/>
            <w:shd w:val="clear" w:fill="EE7A59"/>
          </w:tcPr>
          <w:p>
            <w:r/>
            <w:r>
              <w:rPr>
                <w:rFonts w:ascii="Arial" w:hAnsi="Arial"/>
                <w:b/>
                <w:i w:val="0"/>
                <w:color w:val="FFFFFF"/>
                <w:sz w:val="18"/>
              </w:rPr>
              <w:t>Preach it?</w:t>
            </w:r>
          </w:p>
        </w:tc>
      </w:tr>
      <w:tr>
        <w:tc>
          <w:tcPr>
            <w:tcW w:type="dxa" w:w="2304"/>
          </w:tcPr>
          <w:p>
            <w:r/>
            <w:r>
              <w:rPr>
                <w:rFonts w:ascii="Arial" w:hAnsi="Arial"/>
                <w:b w:val="0"/>
                <w:i w:val="0"/>
                <w:sz w:val="20"/>
              </w:rPr>
            </w:r>
          </w:p>
        </w:tc>
        <w:tc>
          <w:tcPr>
            <w:tcW w:type="dxa" w:w="3168"/>
          </w:tcPr>
          <w:p>
            <w:r/>
            <w:r>
              <w:rPr>
                <w:rFonts w:ascii="Arial" w:hAnsi="Arial"/>
                <w:b w:val="0"/>
                <w:i w:val="0"/>
                <w:sz w:val="20"/>
              </w:rPr>
            </w:r>
          </w:p>
        </w:tc>
        <w:tc>
          <w:tcPr>
            <w:tcW w:type="dxa" w:w="2880"/>
          </w:tcPr>
          <w:p>
            <w:r/>
            <w:r>
              <w:rPr>
                <w:rFonts w:ascii="Arial" w:hAnsi="Arial"/>
                <w:b w:val="0"/>
                <w:i w:val="0"/>
                <w:sz w:val="20"/>
              </w:rPr>
            </w:r>
          </w:p>
        </w:tc>
        <w:tc>
          <w:tcPr>
            <w:tcW w:type="dxa" w:w="1296"/>
          </w:tcPr>
          <w:p>
            <w:r/>
            <w:r>
              <w:rPr>
                <w:rFonts w:ascii="Arial" w:hAnsi="Arial"/>
                <w:b w:val="0"/>
                <w:i w:val="0"/>
                <w:sz w:val="20"/>
              </w:rPr>
            </w:r>
          </w:p>
        </w:tc>
      </w:tr>
      <w:tr>
        <w:tc>
          <w:tcPr>
            <w:tcW w:type="dxa" w:w="2304"/>
          </w:tcPr>
          <w:p>
            <w:r/>
            <w:r>
              <w:rPr>
                <w:rFonts w:ascii="Arial" w:hAnsi="Arial"/>
                <w:b w:val="0"/>
                <w:i w:val="0"/>
                <w:sz w:val="20"/>
              </w:rPr>
            </w:r>
          </w:p>
        </w:tc>
        <w:tc>
          <w:tcPr>
            <w:tcW w:type="dxa" w:w="3168"/>
          </w:tcPr>
          <w:p>
            <w:r/>
            <w:r>
              <w:rPr>
                <w:rFonts w:ascii="Arial" w:hAnsi="Arial"/>
                <w:b w:val="0"/>
                <w:i w:val="0"/>
                <w:sz w:val="20"/>
              </w:rPr>
            </w:r>
          </w:p>
        </w:tc>
        <w:tc>
          <w:tcPr>
            <w:tcW w:type="dxa" w:w="2880"/>
          </w:tcPr>
          <w:p>
            <w:r/>
            <w:r>
              <w:rPr>
                <w:rFonts w:ascii="Arial" w:hAnsi="Arial"/>
                <w:b w:val="0"/>
                <w:i w:val="0"/>
                <w:sz w:val="20"/>
              </w:rPr>
            </w:r>
          </w:p>
        </w:tc>
        <w:tc>
          <w:tcPr>
            <w:tcW w:type="dxa" w:w="1296"/>
          </w:tcPr>
          <w:p>
            <w:r/>
            <w:r>
              <w:rPr>
                <w:rFonts w:ascii="Arial" w:hAnsi="Arial"/>
                <w:b w:val="0"/>
                <w:i w:val="0"/>
                <w:sz w:val="20"/>
              </w:rPr>
            </w:r>
          </w:p>
        </w:tc>
      </w:tr>
      <w:tr>
        <w:tc>
          <w:tcPr>
            <w:tcW w:type="dxa" w:w="2304"/>
          </w:tcPr>
          <w:p>
            <w:r/>
            <w:r>
              <w:rPr>
                <w:rFonts w:ascii="Arial" w:hAnsi="Arial"/>
                <w:b w:val="0"/>
                <w:i w:val="0"/>
                <w:sz w:val="20"/>
              </w:rPr>
            </w:r>
          </w:p>
        </w:tc>
        <w:tc>
          <w:tcPr>
            <w:tcW w:type="dxa" w:w="3168"/>
          </w:tcPr>
          <w:p>
            <w:r/>
            <w:r>
              <w:rPr>
                <w:rFonts w:ascii="Arial" w:hAnsi="Arial"/>
                <w:b w:val="0"/>
                <w:i w:val="0"/>
                <w:sz w:val="20"/>
              </w:rPr>
            </w:r>
          </w:p>
        </w:tc>
        <w:tc>
          <w:tcPr>
            <w:tcW w:type="dxa" w:w="2880"/>
          </w:tcPr>
          <w:p>
            <w:r/>
            <w:r>
              <w:rPr>
                <w:rFonts w:ascii="Arial" w:hAnsi="Arial"/>
                <w:b w:val="0"/>
                <w:i w:val="0"/>
                <w:sz w:val="20"/>
              </w:rPr>
            </w:r>
          </w:p>
        </w:tc>
        <w:tc>
          <w:tcPr>
            <w:tcW w:type="dxa" w:w="1296"/>
          </w:tcPr>
          <w:p>
            <w:r/>
            <w:r>
              <w:rPr>
                <w:rFonts w:ascii="Arial" w:hAnsi="Arial"/>
                <w:b w:val="0"/>
                <w:i w:val="0"/>
                <w:sz w:val="20"/>
              </w:rPr>
            </w:r>
          </w:p>
        </w:tc>
      </w:tr>
      <w:tr>
        <w:tc>
          <w:tcPr>
            <w:tcW w:type="dxa" w:w="2304"/>
          </w:tcPr>
          <w:p>
            <w:r/>
            <w:r>
              <w:rPr>
                <w:rFonts w:ascii="Arial" w:hAnsi="Arial"/>
                <w:b w:val="0"/>
                <w:i w:val="0"/>
                <w:sz w:val="20"/>
              </w:rPr>
            </w:r>
          </w:p>
        </w:tc>
        <w:tc>
          <w:tcPr>
            <w:tcW w:type="dxa" w:w="3168"/>
          </w:tcPr>
          <w:p>
            <w:r/>
            <w:r>
              <w:rPr>
                <w:rFonts w:ascii="Arial" w:hAnsi="Arial"/>
                <w:b w:val="0"/>
                <w:i w:val="0"/>
                <w:sz w:val="20"/>
              </w:rPr>
            </w:r>
          </w:p>
        </w:tc>
        <w:tc>
          <w:tcPr>
            <w:tcW w:type="dxa" w:w="2880"/>
          </w:tcPr>
          <w:p>
            <w:r/>
            <w:r>
              <w:rPr>
                <w:rFonts w:ascii="Arial" w:hAnsi="Arial"/>
                <w:b w:val="0"/>
                <w:i w:val="0"/>
                <w:sz w:val="20"/>
              </w:rPr>
            </w:r>
          </w:p>
        </w:tc>
        <w:tc>
          <w:tcPr>
            <w:tcW w:type="dxa" w:w="1296"/>
          </w:tcPr>
          <w:p>
            <w:r/>
            <w:r>
              <w:rPr>
                <w:rFonts w:ascii="Arial" w:hAnsi="Arial"/>
                <w:b w:val="0"/>
                <w:i w:val="0"/>
                <w:sz w:val="20"/>
              </w:rPr>
            </w:r>
          </w:p>
        </w:tc>
      </w:tr>
      <w:tr>
        <w:tc>
          <w:tcPr>
            <w:tcW w:type="dxa" w:w="2304"/>
          </w:tcPr>
          <w:p>
            <w:r/>
            <w:r>
              <w:rPr>
                <w:rFonts w:ascii="Arial" w:hAnsi="Arial"/>
                <w:b w:val="0"/>
                <w:i w:val="0"/>
                <w:sz w:val="20"/>
              </w:rPr>
            </w:r>
          </w:p>
        </w:tc>
        <w:tc>
          <w:tcPr>
            <w:tcW w:type="dxa" w:w="3168"/>
          </w:tcPr>
          <w:p>
            <w:r/>
            <w:r>
              <w:rPr>
                <w:rFonts w:ascii="Arial" w:hAnsi="Arial"/>
                <w:b w:val="0"/>
                <w:i w:val="0"/>
                <w:sz w:val="20"/>
              </w:rPr>
            </w:r>
          </w:p>
        </w:tc>
        <w:tc>
          <w:tcPr>
            <w:tcW w:type="dxa" w:w="2880"/>
          </w:tcPr>
          <w:p>
            <w:r/>
            <w:r>
              <w:rPr>
                <w:rFonts w:ascii="Arial" w:hAnsi="Arial"/>
                <w:b w:val="0"/>
                <w:i w:val="0"/>
                <w:sz w:val="20"/>
              </w:rPr>
            </w:r>
          </w:p>
        </w:tc>
        <w:tc>
          <w:tcPr>
            <w:tcW w:type="dxa" w:w="1296"/>
          </w:tcPr>
          <w:p>
            <w:r/>
            <w:r>
              <w:rPr>
                <w:rFonts w:ascii="Arial" w:hAnsi="Arial"/>
                <w:b w:val="0"/>
                <w:i w:val="0"/>
                <w:sz w:val="20"/>
              </w:rPr>
            </w:r>
          </w:p>
        </w:tc>
      </w:tr>
    </w:tbl>
    <w:p>
      <w:pPr>
        <w:spacing w:after="160"/>
      </w:pPr>
      <w:r>
        <w:rPr>
          <w:rFonts w:ascii="Arial" w:hAnsi="Arial"/>
          <w:i/>
          <w:color w:val="8A857C"/>
          <w:sz w:val="18"/>
        </w:rPr>
        <w:t>The third column is the one worth keeping. A commentary you argued with is a passage you actually understand — and in two years the note will be worth more than the sermon was.</w:t>
      </w:r>
    </w:p>
    <w:p>
      <w:pPr>
        <w:spacing w:before="160" w:after="80"/>
      </w:pPr>
      <w:r>
        <w:rPr>
          <w:rFonts w:ascii="Arial" w:hAnsi="Arial"/>
          <w:b/>
          <w:color w:val="C85A3B"/>
          <w:sz w:val="26"/>
        </w:rPr>
        <w:t>6. Cross-references that genuinely help</w:t>
      </w:r>
    </w:p>
    <w:p>
      <w:pPr>
        <w:spacing w:after="160"/>
      </w:pPr>
      <w:r>
        <w:rPr>
          <w:rFonts w:ascii="Arial" w:hAnsi="Arial"/>
          <w:i/>
          <w:color w:val="8A857C"/>
          <w:sz w:val="18"/>
        </w:rPr>
        <w:t>Three at most. A chain of eleven verses is a concordance, not a sermon.</w:t>
      </w:r>
    </w:p>
    <w:tbl>
      <w:tblPr>
        <w:tblStyle w:val="TableGrid"/>
        <w:tblW w:type="auto" w:w="0"/>
        <w:tblLook w:firstColumn="1" w:firstRow="1" w:lastColumn="0" w:lastRow="0" w:noHBand="0" w:noVBand="1" w:val="04A0"/>
      </w:tblPr>
      <w:tblGrid>
        <w:gridCol w:w="4968"/>
        <w:gridCol w:w="4968"/>
      </w:tblGrid>
      <w:tr>
        <w:tc>
          <w:tcPr>
            <w:tcW w:type="dxa" w:w="2304"/>
            <w:shd w:val="clear" w:fill="EE7A59"/>
          </w:tcPr>
          <w:p>
            <w:r/>
            <w:r>
              <w:rPr>
                <w:rFonts w:ascii="Arial" w:hAnsi="Arial"/>
                <w:b/>
                <w:i w:val="0"/>
                <w:color w:val="FFFFFF"/>
                <w:sz w:val="18"/>
              </w:rPr>
              <w:t>Reference</w:t>
            </w:r>
          </w:p>
        </w:tc>
        <w:tc>
          <w:tcPr>
            <w:tcW w:type="dxa" w:w="7632"/>
            <w:shd w:val="clear" w:fill="EE7A59"/>
          </w:tcPr>
          <w:p>
            <w:r/>
            <w:r>
              <w:rPr>
                <w:rFonts w:ascii="Arial" w:hAnsi="Arial"/>
                <w:b/>
                <w:i w:val="0"/>
                <w:color w:val="FFFFFF"/>
                <w:sz w:val="18"/>
              </w:rPr>
              <w:t>Why it belongs here</w:t>
            </w:r>
          </w:p>
        </w:tc>
      </w:tr>
      <w:tr>
        <w:tc>
          <w:tcPr>
            <w:tcW w:type="dxa" w:w="2304"/>
          </w:tcPr>
          <w:p>
            <w:r/>
            <w:r>
              <w:rPr>
                <w:rFonts w:ascii="Arial" w:hAnsi="Arial"/>
                <w:b w:val="0"/>
                <w:i w:val="0"/>
                <w:sz w:val="20"/>
              </w:rPr>
            </w:r>
          </w:p>
        </w:tc>
        <w:tc>
          <w:tcPr>
            <w:tcW w:type="dxa" w:w="7632"/>
          </w:tcPr>
          <w:p>
            <w:r/>
            <w:r>
              <w:rPr>
                <w:rFonts w:ascii="Arial" w:hAnsi="Arial"/>
                <w:b w:val="0"/>
                <w:i w:val="0"/>
                <w:sz w:val="20"/>
              </w:rPr>
            </w:r>
          </w:p>
        </w:tc>
      </w:tr>
      <w:tr>
        <w:tc>
          <w:tcPr>
            <w:tcW w:type="dxa" w:w="2304"/>
          </w:tcPr>
          <w:p>
            <w:r/>
            <w:r>
              <w:rPr>
                <w:rFonts w:ascii="Arial" w:hAnsi="Arial"/>
                <w:b w:val="0"/>
                <w:i w:val="0"/>
                <w:sz w:val="20"/>
              </w:rPr>
            </w:r>
          </w:p>
        </w:tc>
        <w:tc>
          <w:tcPr>
            <w:tcW w:type="dxa" w:w="7632"/>
          </w:tcPr>
          <w:p>
            <w:r/>
            <w:r>
              <w:rPr>
                <w:rFonts w:ascii="Arial" w:hAnsi="Arial"/>
                <w:b w:val="0"/>
                <w:i w:val="0"/>
                <w:sz w:val="20"/>
              </w:rPr>
            </w:r>
          </w:p>
        </w:tc>
      </w:tr>
      <w:tr>
        <w:tc>
          <w:tcPr>
            <w:tcW w:type="dxa" w:w="2304"/>
          </w:tcPr>
          <w:p>
            <w:r/>
            <w:r>
              <w:rPr>
                <w:rFonts w:ascii="Arial" w:hAnsi="Arial"/>
                <w:b w:val="0"/>
                <w:i w:val="0"/>
                <w:sz w:val="20"/>
              </w:rPr>
            </w:r>
          </w:p>
        </w:tc>
        <w:tc>
          <w:tcPr>
            <w:tcW w:type="dxa" w:w="7632"/>
          </w:tcPr>
          <w:p>
            <w:r/>
            <w:r>
              <w:rPr>
                <w:rFonts w:ascii="Arial" w:hAnsi="Arial"/>
                <w:b w:val="0"/>
                <w:i w:val="0"/>
                <w:sz w:val="20"/>
              </w:rPr>
            </w:r>
          </w:p>
        </w:tc>
      </w:tr>
    </w:tbl>
    <w:p>
      <w:pPr>
        <w:spacing w:before="160" w:after="80"/>
      </w:pPr>
      <w:r>
        <w:rPr>
          <w:rFonts w:ascii="Arial" w:hAnsi="Arial"/>
          <w:b/>
          <w:color w:val="C85A3B"/>
          <w:sz w:val="26"/>
        </w:rPr>
        <w:t>7. The author's point, revised</w:t>
      </w:r>
    </w:p>
    <w:p>
      <w:pPr>
        <w:spacing w:after="120"/>
      </w:pPr>
      <w:r>
        <w:rPr>
          <w:rFonts w:ascii="Arial" w:hAnsi="Arial"/>
          <w:sz w:val="20"/>
        </w:rPr>
        <w:t>____________________________________________________________________________________________</w:t>
      </w:r>
    </w:p>
    <w:p>
      <w:pPr>
        <w:spacing w:after="120"/>
      </w:pPr>
      <w:r>
        <w:rPr>
          <w:rFonts w:ascii="Arial" w:hAnsi="Arial"/>
          <w:sz w:val="20"/>
        </w:rPr>
        <w:t>____________________________________________________________________________________________</w:t>
      </w:r>
    </w:p>
    <w:p>
      <w:pPr>
        <w:spacing w:before="160" w:after="80"/>
      </w:pPr>
      <w:r>
        <w:rPr>
          <w:rFonts w:ascii="Arial" w:hAnsi="Arial"/>
          <w:b/>
          <w:color w:val="C85A3B"/>
          <w:sz w:val="26"/>
        </w:rPr>
        <w:t>8. The big idea for this congregation</w:t>
      </w:r>
    </w:p>
    <w:p>
      <w:pPr>
        <w:spacing w:after="120"/>
      </w:pPr>
      <w:r>
        <w:rPr>
          <w:rFonts w:ascii="Arial" w:hAnsi="Arial"/>
          <w:sz w:val="20"/>
        </w:rPr>
        <w:t>____________________________________________________________________________________________</w:t>
      </w:r>
    </w:p>
    <w:p>
      <w:pPr>
        <w:spacing w:after="120"/>
      </w:pPr>
      <w:r>
        <w:rPr>
          <w:rFonts w:ascii="Arial" w:hAnsi="Arial"/>
          <w:sz w:val="20"/>
        </w:rPr>
        <w:t>____________________________________________________________________________________________</w:t>
      </w:r>
    </w:p>
    <w:p>
      <w:pPr>
        <w:spacing w:before="160" w:after="80"/>
      </w:pPr>
      <w:r>
        <w:rPr>
          <w:rFonts w:ascii="Arial" w:hAnsi="Arial"/>
          <w:b/>
          <w:color w:val="C85A3B"/>
          <w:sz w:val="26"/>
        </w:rPr>
        <w:t>9. What I am NOT going to say</w:t>
      </w:r>
    </w:p>
    <w:p>
      <w:pPr>
        <w:spacing w:after="160"/>
      </w:pPr>
      <w:r>
        <w:rPr>
          <w:rFonts w:ascii="Arial" w:hAnsi="Arial"/>
          <w:i/>
          <w:color w:val="8A857C"/>
          <w:sz w:val="18"/>
        </w:rPr>
        <w:t>Every good study turns up more than one sermon. Write the other one down here and let it go, or it will follow you into the pulpit and take nine minutes.</w:t>
      </w:r>
    </w:p>
    <w:p>
      <w:pPr>
        <w:spacing w:after="120"/>
      </w:pPr>
      <w:r>
        <w:rPr>
          <w:rFonts w:ascii="Arial" w:hAnsi="Arial"/>
          <w:sz w:val="20"/>
        </w:rPr>
        <w:t>____________________________________________________________________________________________</w:t>
      </w:r>
    </w:p>
    <w:p>
      <w:pPr>
        <w:spacing w:after="120"/>
      </w:pPr>
      <w:r>
        <w:rPr>
          <w:rFonts w:ascii="Arial" w:hAnsi="Arial"/>
          <w:sz w:val="20"/>
        </w:rPr>
        <w:t>____________________________________________________________________________________________</w:t>
      </w:r>
    </w:p>
    <w:sectPr w:rsidR="00FC693F" w:rsidRPr="0006063C" w:rsidSect="00034616">
      <w:footerReference w:type="default" r:id="rId9"/>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8A857C"/>
        <w:sz w:val="16"/>
      </w:rPr>
      <w:t>Free template from MinistryPlanner.church — the big idea reaches worship, kids and tech without a second email</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