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pPr>
      <w:r>
        <w:rPr>
          <w:rFonts w:ascii="Arial" w:hAnsi="Arial"/>
          <w:b/>
          <w:color w:val="3D3A34"/>
          <w:sz w:val="44"/>
        </w:rPr>
        <w:t>Sermon Discussion Guide</w:t>
      </w:r>
    </w:p>
    <w:p>
      <w:pPr>
        <w:spacing w:after="200"/>
      </w:pPr>
      <w:r>
        <w:rPr>
          <w:rFonts w:ascii="Arial" w:hAnsi="Arial"/>
          <w:i/>
          <w:color w:val="8A857C"/>
          <w:sz w:val="20"/>
        </w:rPr>
        <w:t>One page per message. Print it, or share it and let leaders edit their copy.</w:t>
      </w:r>
    </w:p>
    <w:tbl>
      <w:tblPr>
        <w:tblStyle w:val="TableGrid"/>
        <w:tblW w:type="auto" w:w="0"/>
        <w:tblLook w:firstColumn="1" w:firstRow="1" w:lastColumn="0" w:lastRow="0" w:noHBand="0" w:noVBand="1" w:val="04A0"/>
      </w:tblPr>
      <w:tblGrid>
        <w:gridCol w:w="2484"/>
        <w:gridCol w:w="2484"/>
        <w:gridCol w:w="2484"/>
        <w:gridCol w:w="2484"/>
      </w:tblGrid>
      <w:tr>
        <w:tc>
          <w:tcPr>
            <w:tcW w:type="dxa" w:w="1728"/>
            <w:shd w:val="clear" w:fill="F4EDE3"/>
          </w:tcPr>
          <w:p>
            <w:r/>
            <w:r>
              <w:rPr>
                <w:rFonts w:ascii="Arial" w:hAnsi="Arial"/>
                <w:b/>
                <w:i w:val="0"/>
                <w:color w:val="C85A3B"/>
                <w:sz w:val="18"/>
              </w:rPr>
              <w:t>Date</w:t>
            </w:r>
          </w:p>
        </w:tc>
        <w:tc>
          <w:tcPr>
            <w:tcW w:type="dxa" w:w="3312"/>
          </w:tcPr>
          <w:p>
            <w:r/>
            <w:r>
              <w:rPr>
                <w:rFonts w:ascii="Arial" w:hAnsi="Arial"/>
                <w:b w:val="0"/>
                <w:i w:val="0"/>
                <w:sz w:val="20"/>
              </w:rPr>
              <w:t>Sunday, September 13, 2026</w:t>
            </w:r>
          </w:p>
        </w:tc>
        <w:tc>
          <w:tcPr>
            <w:tcW w:type="dxa" w:w="1728"/>
            <w:shd w:val="clear" w:fill="F4EDE3"/>
          </w:tcPr>
          <w:p>
            <w:r/>
            <w:r>
              <w:rPr>
                <w:rFonts w:ascii="Arial" w:hAnsi="Arial"/>
                <w:b/>
                <w:i w:val="0"/>
                <w:color w:val="C85A3B"/>
                <w:sz w:val="18"/>
              </w:rPr>
              <w:t>Series / week</w:t>
            </w:r>
          </w:p>
        </w:tc>
        <w:tc>
          <w:tcPr>
            <w:tcW w:type="dxa" w:w="3168"/>
          </w:tcPr>
          <w:p>
            <w:r/>
            <w:r>
              <w:rPr>
                <w:rFonts w:ascii="Arial" w:hAnsi="Arial"/>
                <w:b w:val="0"/>
                <w:i w:val="0"/>
                <w:sz w:val="20"/>
              </w:rPr>
              <w:t>Lost &amp; Found (wk 3)</w:t>
            </w:r>
          </w:p>
        </w:tc>
      </w:tr>
      <w:tr>
        <w:tc>
          <w:tcPr>
            <w:tcW w:type="dxa" w:w="1728"/>
            <w:shd w:val="clear" w:fill="F4EDE3"/>
          </w:tcPr>
          <w:p>
            <w:r/>
            <w:r>
              <w:rPr>
                <w:rFonts w:ascii="Arial" w:hAnsi="Arial"/>
                <w:b/>
                <w:i w:val="0"/>
                <w:color w:val="C85A3B"/>
                <w:sz w:val="18"/>
              </w:rPr>
              <w:t>Message</w:t>
            </w:r>
          </w:p>
        </w:tc>
        <w:tc>
          <w:tcPr>
            <w:tcW w:type="dxa" w:w="3312"/>
          </w:tcPr>
          <w:p>
            <w:r/>
            <w:r>
              <w:rPr>
                <w:rFonts w:ascii="Arial" w:hAnsi="Arial"/>
                <w:b w:val="0"/>
                <w:i w:val="0"/>
                <w:sz w:val="20"/>
              </w:rPr>
              <w:t>Two Sons</w:t>
            </w:r>
          </w:p>
        </w:tc>
        <w:tc>
          <w:tcPr>
            <w:tcW w:type="dxa" w:w="1728"/>
            <w:shd w:val="clear" w:fill="F4EDE3"/>
          </w:tcPr>
          <w:p>
            <w:r/>
            <w:r>
              <w:rPr>
                <w:rFonts w:ascii="Arial" w:hAnsi="Arial"/>
                <w:b/>
                <w:i w:val="0"/>
                <w:color w:val="C85A3B"/>
                <w:sz w:val="18"/>
              </w:rPr>
              <w:t>Text</w:t>
            </w:r>
          </w:p>
        </w:tc>
        <w:tc>
          <w:tcPr>
            <w:tcW w:type="dxa" w:w="3168"/>
          </w:tcPr>
          <w:p>
            <w:r/>
            <w:r>
              <w:rPr>
                <w:rFonts w:ascii="Arial" w:hAnsi="Arial"/>
                <w:b w:val="0"/>
                <w:i w:val="0"/>
                <w:sz w:val="20"/>
              </w:rPr>
              <w:t>Luke 15:11–32</w:t>
            </w:r>
          </w:p>
        </w:tc>
      </w:tr>
      <w:tr>
        <w:tc>
          <w:tcPr>
            <w:tcW w:type="dxa" w:w="1728"/>
            <w:shd w:val="clear" w:fill="F4EDE3"/>
          </w:tcPr>
          <w:p>
            <w:r/>
            <w:r>
              <w:rPr>
                <w:rFonts w:ascii="Arial" w:hAnsi="Arial"/>
                <w:b/>
                <w:i w:val="0"/>
                <w:color w:val="C85A3B"/>
                <w:sz w:val="18"/>
              </w:rPr>
              <w:t>Big idea</w:t>
            </w:r>
          </w:p>
        </w:tc>
        <w:tc>
          <w:tcPr>
            <w:tcW w:type="dxa" w:w="3312"/>
          </w:tcPr>
          <w:p>
            <w:r/>
            <w:r>
              <w:rPr>
                <w:rFonts w:ascii="Arial" w:hAnsi="Arial"/>
                <w:b w:val="0"/>
                <w:i w:val="0"/>
                <w:sz w:val="20"/>
              </w:rPr>
              <w:t>God's welcome of the people you disapprove of is not a threat to your place at the table. It is the party you are being invited to.</w:t>
            </w:r>
          </w:p>
        </w:tc>
        <w:tc>
          <w:tcPr>
            <w:tcW w:type="dxa" w:w="1728"/>
            <w:shd w:val="clear" w:fill="F4EDE3"/>
          </w:tcPr>
          <w:p>
            <w:r/>
            <w:r>
              <w:rPr>
                <w:rFonts w:ascii="Arial" w:hAnsi="Arial"/>
                <w:b/>
                <w:i w:val="0"/>
                <w:color w:val="C85A3B"/>
                <w:sz w:val="18"/>
              </w:rPr>
            </w:r>
          </w:p>
        </w:tc>
        <w:tc>
          <w:tcPr>
            <w:tcW w:type="dxa" w:w="3168"/>
          </w:tcPr>
          <w:p>
            <w:r/>
            <w:r>
              <w:rPr>
                <w:rFonts w:ascii="Arial" w:hAnsi="Arial"/>
                <w:b w:val="0"/>
                <w:i w:val="0"/>
                <w:sz w:val="20"/>
              </w:rPr>
            </w:r>
          </w:p>
        </w:tc>
      </w:tr>
    </w:tbl>
    <w:p>
      <w:pPr>
        <w:spacing w:after="80"/>
      </w:pPr>
    </w:p>
    <w:p>
      <w:pPr>
        <w:spacing w:before="120" w:after="80"/>
      </w:pPr>
      <w:r>
        <w:rPr>
          <w:rFonts w:ascii="Arial" w:hAnsi="Arial"/>
          <w:b/>
          <w:color w:val="C85A3B"/>
          <w:sz w:val="26"/>
        </w:rPr>
        <w:t>1. Open</w:t>
      </w:r>
    </w:p>
    <w:p>
      <w:pPr>
        <w:spacing w:after="160"/>
      </w:pPr>
      <w:r>
        <w:rPr>
          <w:rFonts w:ascii="Arial" w:hAnsi="Arial"/>
          <w:i/>
          <w:color w:val="8A857C"/>
          <w:sz w:val="18"/>
        </w:rPr>
        <w:t>Answerable by somebody who missed the sermon. A third of the room did, and if the first question locks them out they stay quiet all evening.</w:t>
      </w:r>
    </w:p>
    <w:p>
      <w:pPr>
        <w:pStyle w:val="ListBullet"/>
      </w:pPr>
      <w:r>
        <w:rPr>
          <w:rFonts w:ascii="Arial" w:hAnsi="Arial"/>
          <w:sz w:val="20"/>
        </w:rPr>
        <w:t>Tell us about a time you were welcomed somewhere you were not sure you belonged. What did the welcome actually look like?</w:t>
      </w:r>
    </w:p>
    <w:p>
      <w:pPr>
        <w:spacing w:before="160" w:after="80"/>
      </w:pPr>
      <w:r>
        <w:rPr>
          <w:rFonts w:ascii="Arial" w:hAnsi="Arial"/>
          <w:b/>
          <w:color w:val="C85A3B"/>
          <w:sz w:val="26"/>
        </w:rPr>
        <w:t>2. Read</w:t>
      </w:r>
    </w:p>
    <w:p>
      <w:pPr>
        <w:pStyle w:val="ListBullet"/>
      </w:pPr>
      <w:r>
        <w:rPr>
          <w:rFonts w:ascii="Arial" w:hAnsi="Arial"/>
          <w:sz w:val="20"/>
        </w:rPr>
        <w:t>Luke 15:11–32 — read it aloud, twice, in two different voices. The second reading is where people start noticing things.</w:t>
      </w:r>
    </w:p>
    <w:p>
      <w:pPr>
        <w:spacing w:before="160" w:after="80"/>
      </w:pPr>
      <w:r>
        <w:rPr>
          <w:rFonts w:ascii="Arial" w:hAnsi="Arial"/>
          <w:b/>
          <w:color w:val="C85A3B"/>
          <w:sz w:val="26"/>
        </w:rPr>
        <w:t>3. Observe — what does it say?</w:t>
      </w:r>
    </w:p>
    <w:p>
      <w:pPr>
        <w:pStyle w:val="ListBullet"/>
      </w:pPr>
      <w:r>
        <w:rPr>
          <w:rFonts w:ascii="Arial" w:hAnsi="Arial"/>
          <w:sz w:val="20"/>
        </w:rPr>
        <w:t>Who is Jesus telling this story to, and what were they complaining about? (Look at 15:1–2 before you answer.)</w:t>
      </w:r>
    </w:p>
    <w:p>
      <w:pPr>
        <w:pStyle w:val="ListBullet"/>
      </w:pPr>
      <w:r>
        <w:rPr>
          <w:rFonts w:ascii="Arial" w:hAnsi="Arial"/>
          <w:sz w:val="20"/>
        </w:rPr>
        <w:t>What does the father do in verse 20 that nobody in the story expects?</w:t>
      </w:r>
    </w:p>
    <w:p>
      <w:pPr>
        <w:spacing w:before="160" w:after="80"/>
      </w:pPr>
      <w:r>
        <w:rPr>
          <w:rFonts w:ascii="Arial" w:hAnsi="Arial"/>
          <w:b/>
          <w:color w:val="C85A3B"/>
          <w:sz w:val="26"/>
        </w:rPr>
        <w:t>4. Interpret — what did it mean?</w:t>
      </w:r>
    </w:p>
    <w:p>
      <w:pPr>
        <w:pStyle w:val="ListBullet"/>
      </w:pPr>
      <w:r>
        <w:rPr>
          <w:rFonts w:ascii="Arial" w:hAnsi="Arial"/>
          <w:sz w:val="20"/>
        </w:rPr>
        <w:t>The father says almost the same sentence twice — dead and alive again, lost and found (v24, v32). Why say it a second time, and this time to the elder son?</w:t>
      </w:r>
    </w:p>
    <w:p>
      <w:pPr>
        <w:pStyle w:val="ListBullet"/>
      </w:pPr>
      <w:r>
        <w:rPr>
          <w:rFonts w:ascii="Arial" w:hAnsi="Arial"/>
          <w:sz w:val="20"/>
        </w:rPr>
        <w:t>In verse 30 the elder brother says “this son of yours.” In verse 32 the father says “this brother of yours.” What is the father correcting?</w:t>
      </w:r>
    </w:p>
    <w:p>
      <w:pPr>
        <w:spacing w:before="160" w:after="80"/>
      </w:pPr>
      <w:r>
        <w:rPr>
          <w:rFonts w:ascii="Arial" w:hAnsi="Arial"/>
          <w:b/>
          <w:color w:val="C85A3B"/>
          <w:sz w:val="26"/>
        </w:rPr>
        <w:t>5. Apply — what does it ask of us?</w:t>
      </w:r>
    </w:p>
    <w:p>
      <w:pPr>
        <w:pStyle w:val="ListBullet"/>
      </w:pPr>
      <w:r>
        <w:rPr>
          <w:rFonts w:ascii="Arial" w:hAnsi="Arial"/>
          <w:sz w:val="20"/>
        </w:rPr>
        <w:t>Which of the two sons do you find easier to sympathise with — and what does your answer tell you about yourself?</w:t>
      </w:r>
    </w:p>
    <w:p>
      <w:pPr>
        <w:pStyle w:val="ListBullet"/>
      </w:pPr>
      <w:r>
        <w:rPr>
          <w:rFonts w:ascii="Arial" w:hAnsi="Arial"/>
          <w:sz w:val="20"/>
        </w:rPr>
        <w:t>Where are you standing out in the field, technically part of the family and refusing to go in?</w:t>
      </w:r>
    </w:p>
    <w:p>
      <w:pPr>
        <w:pStyle w:val="ListBullet"/>
      </w:pPr>
      <w:r>
        <w:rPr>
          <w:rFonts w:ascii="Arial" w:hAnsi="Arial"/>
          <w:sz w:val="20"/>
        </w:rPr>
        <w:t>This week's call: name one person whose return would be hard for you to celebrate. What would being genuinely glad about them look like?</w:t>
      </w:r>
    </w:p>
    <w:p>
      <w:pPr>
        <w:spacing w:before="160" w:after="80"/>
      </w:pPr>
      <w:r>
        <w:rPr>
          <w:rFonts w:ascii="Arial" w:hAnsi="Arial"/>
          <w:b/>
          <w:color w:val="C85A3B"/>
          <w:sz w:val="26"/>
        </w:rPr>
        <w:t>6. Pray</w:t>
      </w:r>
    </w:p>
    <w:p>
      <w:pPr>
        <w:pStyle w:val="ListBullet"/>
      </w:pPr>
      <w:r>
        <w:rPr>
          <w:rFonts w:ascii="Arial" w:hAnsi="Arial"/>
          <w:sz w:val="20"/>
        </w:rPr>
        <w:t>Thank God for the welcome you did not earn. Then be honest with him about the person you would rather he did not welcome.</w:t>
      </w:r>
    </w:p>
    <w:p>
      <w:pPr>
        <w:spacing w:before="160" w:after="80"/>
      </w:pPr>
      <w:r>
        <w:rPr>
          <w:rFonts w:ascii="Arial" w:hAnsi="Arial"/>
          <w:b/>
          <w:color w:val="C85A3B"/>
          <w:sz w:val="26"/>
        </w:rPr>
        <w:t>7. Leader notes</w:t>
      </w:r>
    </w:p>
    <w:p>
      <w:pPr>
        <w:spacing w:after="160"/>
      </w:pPr>
      <w:r>
        <w:rPr>
          <w:rFonts w:ascii="Arial" w:hAnsi="Arial"/>
          <w:i/>
          <w:color w:val="8A857C"/>
          <w:sz w:val="18"/>
        </w:rPr>
        <w:t>The half nobody else ships. Read this before the group, not during it.</w:t>
      </w:r>
    </w:p>
    <w:p>
      <w:pPr>
        <w:pStyle w:val="ListBullet"/>
      </w:pPr>
      <w:r>
        <w:rPr>
          <w:rFonts w:ascii="Arial" w:hAnsi="Arial"/>
          <w:sz w:val="20"/>
        </w:rPr>
        <w:t>Where this usually goes wrong: the group will make it about the younger son and stay there for forty minutes. It is the comfortable half. The sermon and the parable are both aimed at the elder brother, so move on deliberately at the twenty-minute mark.</w:t>
      </w:r>
    </w:p>
    <w:p>
      <w:pPr>
        <w:pStyle w:val="ListBullet"/>
      </w:pPr>
      <w:r>
        <w:rPr>
          <w:rFonts w:ascii="Arial" w:hAnsi="Arial"/>
          <w:sz w:val="20"/>
        </w:rPr>
        <w:t>The question that will stall: “why does it end without an ending?” Ask it, then count to twenty in your head. Someone will answer. The silence is doing the work.</w:t>
      </w:r>
    </w:p>
    <w:p>
      <w:pPr>
        <w:pStyle w:val="ListBullet"/>
      </w:pPr>
      <w:r>
        <w:rPr>
          <w:rFonts w:ascii="Arial" w:hAnsi="Arial"/>
          <w:sz w:val="20"/>
        </w:rPr>
        <w:t>If nobody is talking: go round the circle on the opening question. Everyone speaking once early makes the rest of the evening easier.</w:t>
      </w:r>
    </w:p>
    <w:p>
      <w:pPr>
        <w:pStyle w:val="ListBullet"/>
      </w:pPr>
      <w:r>
        <w:rPr>
          <w:rFonts w:ascii="Arial" w:hAnsi="Arial"/>
          <w:sz w:val="20"/>
        </w:rPr>
        <w:t>If you only have twenty minutes: ask observe #1 and apply #2. Those two carry it.</w:t>
      </w:r>
    </w:p>
    <w:p>
      <w:pPr>
        <w:spacing w:before="160" w:after="80"/>
      </w:pPr>
      <w:r>
        <w:rPr>
          <w:rFonts w:ascii="Arial" w:hAnsi="Arial"/>
          <w:b/>
          <w:color w:val="C85A3B"/>
          <w:sz w:val="26"/>
        </w:rPr>
        <w:t>8. If you have…</w:t>
      </w:r>
    </w:p>
    <w:tbl>
      <w:tblPr>
        <w:tblStyle w:val="TableGrid"/>
        <w:tblW w:type="auto" w:w="0"/>
        <w:tblLook w:firstColumn="1" w:firstRow="1" w:lastColumn="0" w:lastRow="0" w:noHBand="0" w:noVBand="1" w:val="04A0"/>
      </w:tblPr>
      <w:tblGrid>
        <w:gridCol w:w="3312"/>
        <w:gridCol w:w="3312"/>
        <w:gridCol w:w="3312"/>
      </w:tblGrid>
      <w:tr>
        <w:tc>
          <w:tcPr>
            <w:tcW w:type="dxa" w:w="3312"/>
            <w:shd w:val="clear" w:fill="EE7A59"/>
          </w:tcPr>
          <w:p>
            <w:r/>
            <w:r>
              <w:rPr>
                <w:rFonts w:ascii="Arial" w:hAnsi="Arial"/>
                <w:b/>
                <w:i w:val="0"/>
                <w:color w:val="FFFFFF"/>
                <w:sz w:val="18"/>
              </w:rPr>
              <w:t>60 minutes</w:t>
            </w:r>
          </w:p>
        </w:tc>
        <w:tc>
          <w:tcPr>
            <w:tcW w:type="dxa" w:w="3312"/>
            <w:shd w:val="clear" w:fill="EE7A59"/>
          </w:tcPr>
          <w:p>
            <w:r/>
            <w:r>
              <w:rPr>
                <w:rFonts w:ascii="Arial" w:hAnsi="Arial"/>
                <w:b/>
                <w:i w:val="0"/>
                <w:color w:val="FFFFFF"/>
                <w:sz w:val="18"/>
              </w:rPr>
              <w:t>75 minutes</w:t>
            </w:r>
          </w:p>
        </w:tc>
        <w:tc>
          <w:tcPr>
            <w:tcW w:type="dxa" w:w="3312"/>
            <w:shd w:val="clear" w:fill="EE7A59"/>
          </w:tcPr>
          <w:p>
            <w:r/>
            <w:r>
              <w:rPr>
                <w:rFonts w:ascii="Arial" w:hAnsi="Arial"/>
                <w:b/>
                <w:i w:val="0"/>
                <w:color w:val="FFFFFF"/>
                <w:sz w:val="18"/>
              </w:rPr>
              <w:t>90 minutes</w:t>
            </w:r>
          </w:p>
        </w:tc>
      </w:tr>
      <w:tr>
        <w:tc>
          <w:tcPr>
            <w:tcW w:type="dxa" w:w="3312"/>
          </w:tcPr>
          <w:p>
            <w:r/>
            <w:r>
              <w:rPr>
                <w:rFonts w:ascii="Arial" w:hAnsi="Arial"/>
                <w:b w:val="0"/>
                <w:i w:val="0"/>
                <w:sz w:val="20"/>
              </w:rPr>
              <w:t>Open, read, one observe,</w:t>
              <w:br/>
              <w:t>two apply, pray</w:t>
            </w:r>
          </w:p>
        </w:tc>
        <w:tc>
          <w:tcPr>
            <w:tcW w:type="dxa" w:w="3312"/>
          </w:tcPr>
          <w:p>
            <w:r/>
            <w:r>
              <w:rPr>
                <w:rFonts w:ascii="Arial" w:hAnsi="Arial"/>
                <w:b w:val="0"/>
                <w:i w:val="0"/>
                <w:sz w:val="20"/>
              </w:rPr>
              <w:t>Everything, with the</w:t>
              <w:br/>
              <w:t>interpret questions short</w:t>
            </w:r>
          </w:p>
        </w:tc>
        <w:tc>
          <w:tcPr>
            <w:tcW w:type="dxa" w:w="3312"/>
          </w:tcPr>
          <w:p>
            <w:r/>
            <w:r>
              <w:rPr>
                <w:rFonts w:ascii="Arial" w:hAnsi="Arial"/>
                <w:b w:val="0"/>
                <w:i w:val="0"/>
                <w:sz w:val="20"/>
              </w:rPr>
              <w:t>Everything, plus time for</w:t>
              <w:br/>
              <w:t>the conversation it starts</w:t>
            </w:r>
          </w:p>
        </w:tc>
      </w:tr>
    </w:tbl>
    <w:p>
      <w:pPr>
        <w:spacing w:after="160"/>
      </w:pPr>
      <w:r>
        <w:rPr>
          <w:rFonts w:ascii="Arial" w:hAnsi="Arial"/>
          <w:i/>
          <w:color w:val="8A857C"/>
          <w:sz w:val="18"/>
        </w:rPr>
        <w:t>Prepare more questions than you need and delete them live. The worst small group evening is the one where the leader gets through the list.</w:t>
      </w:r>
    </w:p>
    <w:sectPr w:rsidR="00FC693F" w:rsidRPr="0006063C" w:rsidSect="00034616">
      <w:footerReference w:type="default" r:id="rId9"/>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8A857C"/>
        <w:sz w:val="16"/>
      </w:rPr>
      <w:t>Free template from MinistryPlanner.church — one shared guide your leaders can't have the wrong version of</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